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FB6A8A" w14:textId="77777777" w:rsidR="00D83D8A" w:rsidRDefault="00D83D8A"/>
    <w:p w14:paraId="5733253F" w14:textId="77777777" w:rsidR="00D83D8A" w:rsidRDefault="00D83D8A"/>
    <w:tbl>
      <w:tblPr>
        <w:tblStyle w:val="TableGrid"/>
        <w:tblW w:w="9338" w:type="dxa"/>
        <w:tblLook w:val="04A0" w:firstRow="1" w:lastRow="0" w:firstColumn="1" w:lastColumn="0" w:noHBand="0" w:noVBand="1"/>
      </w:tblPr>
      <w:tblGrid>
        <w:gridCol w:w="9338"/>
      </w:tblGrid>
      <w:tr w:rsidR="00D83D8A" w14:paraId="1529C695" w14:textId="77777777">
        <w:trPr>
          <w:trHeight w:val="662"/>
        </w:trPr>
        <w:tc>
          <w:tcPr>
            <w:tcW w:w="9338" w:type="dxa"/>
            <w:shd w:val="clear" w:color="auto" w:fill="7030A0"/>
            <w:vAlign w:val="center"/>
          </w:tcPr>
          <w:p w14:paraId="6028B80D" w14:textId="77777777" w:rsidR="00D83D8A" w:rsidRDefault="00355842">
            <w:pPr>
              <w:rPr>
                <w:color w:val="FFFFFF" w:themeColor="background1"/>
                <w:sz w:val="44"/>
                <w:szCs w:val="44"/>
              </w:rPr>
            </w:pPr>
            <w:r>
              <w:rPr>
                <w:rFonts w:ascii="Calibri" w:hAnsi="Calibri" w:cs="Calibri"/>
                <w:color w:val="FFFFFF"/>
                <w:sz w:val="44"/>
                <w:szCs w:val="44"/>
              </w:rPr>
              <w:t xml:space="preserve">Access Arrangements Policy </w:t>
            </w:r>
          </w:p>
        </w:tc>
      </w:tr>
      <w:tr w:rsidR="00D83D8A" w14:paraId="7D66D2C8" w14:textId="77777777">
        <w:trPr>
          <w:trHeight w:val="2284"/>
        </w:trPr>
        <w:tc>
          <w:tcPr>
            <w:tcW w:w="9338" w:type="dxa"/>
          </w:tcPr>
          <w:p w14:paraId="7EB3FF44" w14:textId="77777777" w:rsidR="00D83D8A" w:rsidRDefault="00D83D8A"/>
          <w:p w14:paraId="5A54DC4C" w14:textId="77777777" w:rsidR="00D83D8A" w:rsidRDefault="00355842">
            <w:pPr>
              <w:rPr>
                <w:sz w:val="24"/>
                <w:szCs w:val="24"/>
              </w:rPr>
            </w:pPr>
            <w:r>
              <w:rPr>
                <w:sz w:val="24"/>
                <w:szCs w:val="24"/>
              </w:rPr>
              <w:t xml:space="preserve">Document produced by: Lisa Emblen </w:t>
            </w:r>
          </w:p>
          <w:p w14:paraId="04942E8C" w14:textId="77777777" w:rsidR="00D83D8A" w:rsidRDefault="00D83D8A">
            <w:pPr>
              <w:rPr>
                <w:sz w:val="24"/>
                <w:szCs w:val="24"/>
              </w:rPr>
            </w:pPr>
          </w:p>
          <w:p w14:paraId="43CA69A8" w14:textId="77777777" w:rsidR="00D83D8A" w:rsidRDefault="00355842">
            <w:pPr>
              <w:rPr>
                <w:sz w:val="24"/>
                <w:szCs w:val="24"/>
              </w:rPr>
            </w:pPr>
            <w:r>
              <w:rPr>
                <w:sz w:val="24"/>
                <w:szCs w:val="24"/>
              </w:rPr>
              <w:t>Date produced: April 2017</w:t>
            </w:r>
          </w:p>
          <w:p w14:paraId="47441FBB" w14:textId="77777777" w:rsidR="00D83D8A" w:rsidRDefault="00D83D8A">
            <w:pPr>
              <w:rPr>
                <w:sz w:val="24"/>
                <w:szCs w:val="24"/>
              </w:rPr>
            </w:pPr>
          </w:p>
          <w:p w14:paraId="1B8230A3" w14:textId="77777777" w:rsidR="00D83D8A" w:rsidRDefault="00355842">
            <w:pPr>
              <w:rPr>
                <w:sz w:val="24"/>
                <w:szCs w:val="24"/>
              </w:rPr>
            </w:pPr>
            <w:r>
              <w:rPr>
                <w:sz w:val="24"/>
                <w:szCs w:val="24"/>
              </w:rPr>
              <w:t>Adopted by SLT: April 2017</w:t>
            </w:r>
          </w:p>
          <w:p w14:paraId="6C909FAD" w14:textId="77777777" w:rsidR="00D83D8A" w:rsidRDefault="00D83D8A">
            <w:pPr>
              <w:rPr>
                <w:sz w:val="24"/>
                <w:szCs w:val="24"/>
              </w:rPr>
            </w:pPr>
          </w:p>
          <w:p w14:paraId="034A8E1D" w14:textId="367B4388" w:rsidR="00D83D8A" w:rsidRDefault="00313267">
            <w:pPr>
              <w:rPr>
                <w:sz w:val="24"/>
                <w:szCs w:val="24"/>
              </w:rPr>
            </w:pPr>
            <w:r>
              <w:rPr>
                <w:sz w:val="24"/>
                <w:szCs w:val="24"/>
              </w:rPr>
              <w:t>R</w:t>
            </w:r>
            <w:r w:rsidR="00B35E33">
              <w:rPr>
                <w:sz w:val="24"/>
                <w:szCs w:val="24"/>
              </w:rPr>
              <w:t>eviewed: November 2019</w:t>
            </w:r>
            <w:r>
              <w:rPr>
                <w:sz w:val="24"/>
                <w:szCs w:val="24"/>
              </w:rPr>
              <w:t xml:space="preserve"> by Tracey Webb</w:t>
            </w:r>
          </w:p>
          <w:p w14:paraId="27FB7A24" w14:textId="7A2BF3C4" w:rsidR="00313267" w:rsidRDefault="00313267">
            <w:pPr>
              <w:rPr>
                <w:sz w:val="24"/>
                <w:szCs w:val="24"/>
              </w:rPr>
            </w:pPr>
            <w:r>
              <w:rPr>
                <w:sz w:val="24"/>
                <w:szCs w:val="24"/>
              </w:rPr>
              <w:t>Reviewed : Sonya Sadd October 2020</w:t>
            </w:r>
          </w:p>
          <w:p w14:paraId="6C5ED9BD" w14:textId="187B30FC" w:rsidR="00313267" w:rsidRDefault="00313267">
            <w:pPr>
              <w:rPr>
                <w:sz w:val="24"/>
                <w:szCs w:val="24"/>
              </w:rPr>
            </w:pPr>
            <w:r>
              <w:rPr>
                <w:sz w:val="24"/>
                <w:szCs w:val="24"/>
              </w:rPr>
              <w:t xml:space="preserve">Reviewed : Lisa Ramsden </w:t>
            </w:r>
            <w:r w:rsidR="001D53B8">
              <w:rPr>
                <w:sz w:val="24"/>
                <w:szCs w:val="24"/>
              </w:rPr>
              <w:t>January 2025</w:t>
            </w:r>
          </w:p>
          <w:p w14:paraId="5E3A8F21" w14:textId="77777777" w:rsidR="00B35E33" w:rsidRDefault="00B35E33">
            <w:pPr>
              <w:rPr>
                <w:sz w:val="24"/>
                <w:szCs w:val="24"/>
              </w:rPr>
            </w:pPr>
          </w:p>
          <w:p w14:paraId="0791BF5C" w14:textId="77777777" w:rsidR="00D83D8A" w:rsidRDefault="00D83D8A"/>
        </w:tc>
      </w:tr>
    </w:tbl>
    <w:p w14:paraId="6CB142DB" w14:textId="77777777" w:rsidR="00D83D8A" w:rsidRDefault="00D83D8A"/>
    <w:p w14:paraId="675EC3AB" w14:textId="77777777" w:rsidR="00D83D8A" w:rsidRDefault="00355842">
      <w:r>
        <w:br w:type="page"/>
      </w:r>
    </w:p>
    <w:p w14:paraId="3985578E" w14:textId="77777777" w:rsidR="00D83D8A" w:rsidRDefault="00D83D8A"/>
    <w:tbl>
      <w:tblPr>
        <w:tblStyle w:val="TableGrid"/>
        <w:tblW w:w="0" w:type="auto"/>
        <w:tblLook w:val="04A0" w:firstRow="1" w:lastRow="0" w:firstColumn="1" w:lastColumn="0" w:noHBand="0" w:noVBand="1"/>
      </w:tblPr>
      <w:tblGrid>
        <w:gridCol w:w="9016"/>
      </w:tblGrid>
      <w:tr w:rsidR="00D83D8A" w14:paraId="0A052267" w14:textId="77777777">
        <w:trPr>
          <w:trHeight w:val="715"/>
        </w:trPr>
        <w:tc>
          <w:tcPr>
            <w:tcW w:w="9242" w:type="dxa"/>
            <w:shd w:val="clear" w:color="auto" w:fill="7030A0"/>
            <w:vAlign w:val="center"/>
          </w:tcPr>
          <w:p w14:paraId="4B7CB3A8" w14:textId="77777777" w:rsidR="00D83D8A" w:rsidRDefault="00355842">
            <w:pPr>
              <w:pStyle w:val="Heading1"/>
              <w:rPr>
                <w:color w:val="FFFFFF" w:themeColor="background1"/>
                <w:sz w:val="44"/>
                <w:szCs w:val="44"/>
              </w:rPr>
            </w:pPr>
            <w:r>
              <w:rPr>
                <w:rFonts w:asciiTheme="minorHAnsi" w:hAnsiTheme="minorHAnsi" w:cs="Arial"/>
                <w:color w:val="FFFFFF" w:themeColor="background1"/>
                <w:sz w:val="44"/>
                <w:szCs w:val="44"/>
              </w:rPr>
              <w:t>Policy Aims:</w:t>
            </w:r>
          </w:p>
        </w:tc>
      </w:tr>
      <w:tr w:rsidR="00D83D8A" w14:paraId="2BFB958A" w14:textId="77777777">
        <w:tc>
          <w:tcPr>
            <w:tcW w:w="9242" w:type="dxa"/>
          </w:tcPr>
          <w:p w14:paraId="02059241" w14:textId="77777777" w:rsidR="00D83D8A" w:rsidRDefault="00D83D8A">
            <w:pPr>
              <w:pStyle w:val="Heading1"/>
              <w:spacing w:before="0" w:beforeAutospacing="0" w:after="0" w:afterAutospacing="0"/>
              <w:ind w:left="720"/>
              <w:rPr>
                <w:rFonts w:asciiTheme="minorHAnsi" w:hAnsiTheme="minorHAnsi" w:cs="Arial"/>
              </w:rPr>
            </w:pPr>
          </w:p>
          <w:p w14:paraId="2AC86A02" w14:textId="77777777" w:rsidR="00B35E33" w:rsidRPr="00B35E33" w:rsidRDefault="00355842" w:rsidP="00B35E33">
            <w:pPr>
              <w:spacing w:line="276" w:lineRule="auto"/>
              <w:jc w:val="both"/>
              <w:rPr>
                <w:rFonts w:ascii="Calibri" w:hAnsi="Calibri" w:cs="Calibri"/>
                <w:i/>
                <w:szCs w:val="24"/>
              </w:rPr>
            </w:pPr>
            <w:r>
              <w:rPr>
                <w:rFonts w:eastAsia="Calibri" w:cs="Arial"/>
                <w:sz w:val="24"/>
                <w:szCs w:val="24"/>
              </w:rPr>
              <w:t xml:space="preserve"> </w:t>
            </w:r>
            <w:r w:rsidR="00B35E33" w:rsidRPr="00B35E33">
              <w:rPr>
                <w:rFonts w:ascii="Calibri" w:hAnsi="Calibri" w:cs="Calibri"/>
                <w:szCs w:val="24"/>
              </w:rPr>
              <w:t>The purpose of this policy is to confirm that</w:t>
            </w:r>
            <w:r w:rsidR="00B35E33">
              <w:rPr>
                <w:rFonts w:ascii="Calibri" w:hAnsi="Calibri" w:cs="Calibri"/>
                <w:szCs w:val="24"/>
              </w:rPr>
              <w:t xml:space="preserve"> Dorset Studio School</w:t>
            </w:r>
            <w:r w:rsidR="00B35E33" w:rsidRPr="00B35E33">
              <w:rPr>
                <w:rFonts w:ascii="Calibri" w:hAnsi="Calibri" w:cs="Calibri"/>
                <w:szCs w:val="24"/>
              </w:rPr>
              <w:t xml:space="preserve"> has a written record which clearly shows the centre is leading on the access arrangements process and is complying with its </w:t>
            </w:r>
            <w:r w:rsidR="00B35E33" w:rsidRPr="00B35E33">
              <w:rPr>
                <w:rFonts w:ascii="Calibri" w:hAnsi="Calibri" w:cs="Calibri"/>
                <w:i/>
                <w:szCs w:val="24"/>
              </w:rPr>
              <w:t>“...obligation to identify the need for, request and implement access arrangements...”</w:t>
            </w:r>
          </w:p>
          <w:p w14:paraId="65979084" w14:textId="77777777" w:rsidR="00B35E33" w:rsidRPr="00B35E33" w:rsidRDefault="00B35E33" w:rsidP="00B35E33">
            <w:pPr>
              <w:pStyle w:val="ListParagraph"/>
              <w:tabs>
                <w:tab w:val="left" w:pos="10490"/>
              </w:tabs>
              <w:spacing w:before="120" w:after="120" w:line="276" w:lineRule="auto"/>
              <w:ind w:right="-11"/>
              <w:jc w:val="right"/>
              <w:rPr>
                <w:rFonts w:ascii="Calibri" w:hAnsi="Calibri" w:cs="Calibri"/>
              </w:rPr>
            </w:pPr>
            <w:r w:rsidRPr="00B35E33">
              <w:rPr>
                <w:rFonts w:ascii="Calibri" w:hAnsi="Calibri" w:cs="Calibri"/>
              </w:rPr>
              <w:t>[JCQ General Regulations for Approved Centres, 5.5]</w:t>
            </w:r>
          </w:p>
          <w:p w14:paraId="028FF4DE" w14:textId="77777777" w:rsidR="00B35E33" w:rsidRPr="00B35E33" w:rsidRDefault="00B35E33" w:rsidP="00B35E33">
            <w:pPr>
              <w:jc w:val="right"/>
              <w:rPr>
                <w:rFonts w:ascii="Calibri" w:hAnsi="Calibri" w:cs="Calibri"/>
                <w:i/>
                <w:szCs w:val="24"/>
              </w:rPr>
            </w:pPr>
            <w:r w:rsidRPr="00B35E33">
              <w:rPr>
                <w:rFonts w:ascii="Calibri" w:hAnsi="Calibri" w:cs="Calibri"/>
                <w:szCs w:val="24"/>
              </w:rPr>
              <w:t xml:space="preserve">This publication is further referred to in this policy as </w:t>
            </w:r>
            <w:hyperlink r:id="rId8" w:history="1">
              <w:r w:rsidRPr="00B35E33">
                <w:rPr>
                  <w:rStyle w:val="Hyperlink"/>
                  <w:rFonts w:ascii="Calibri" w:hAnsi="Calibri" w:cs="Calibri"/>
                  <w:color w:val="auto"/>
                  <w:szCs w:val="24"/>
                </w:rPr>
                <w:t>GR</w:t>
              </w:r>
            </w:hyperlink>
          </w:p>
          <w:p w14:paraId="67B1A51D" w14:textId="77777777" w:rsidR="00B35E33" w:rsidRPr="00B35E33" w:rsidRDefault="00B35E33" w:rsidP="00B35E33">
            <w:pPr>
              <w:tabs>
                <w:tab w:val="left" w:pos="10490"/>
              </w:tabs>
              <w:spacing w:before="120" w:after="120" w:line="276" w:lineRule="auto"/>
              <w:ind w:right="-11"/>
              <w:jc w:val="both"/>
              <w:rPr>
                <w:rFonts w:ascii="Calibri" w:eastAsia="Times New Roman" w:hAnsi="Calibri" w:cs="Calibri"/>
              </w:rPr>
            </w:pPr>
            <w:r w:rsidRPr="00B35E33">
              <w:rPr>
                <w:rFonts w:ascii="Calibri" w:eastAsia="Times New Roman" w:hAnsi="Calibri" w:cs="Calibri"/>
              </w:rPr>
              <w:t xml:space="preserve">This policy is maintained and held by the SENCo alongside the individual files of each access arrangements candidate. Each file contains detailed records of all the essential information that is required to be held according to the regulations. </w:t>
            </w:r>
          </w:p>
          <w:p w14:paraId="251839C8" w14:textId="77777777" w:rsidR="00B35E33" w:rsidRPr="00B35E33" w:rsidRDefault="00B35E33" w:rsidP="00B35E33">
            <w:pPr>
              <w:autoSpaceDE w:val="0"/>
              <w:autoSpaceDN w:val="0"/>
              <w:adjustRightInd w:val="0"/>
              <w:spacing w:before="120" w:line="276" w:lineRule="auto"/>
              <w:jc w:val="both"/>
              <w:rPr>
                <w:rFonts w:ascii="Calibri" w:hAnsi="Calibri" w:cs="Calibri"/>
                <w:szCs w:val="24"/>
              </w:rPr>
            </w:pPr>
            <w:r w:rsidRPr="00B35E33">
              <w:rPr>
                <w:rFonts w:ascii="Calibri" w:hAnsi="Calibri" w:cs="Calibri"/>
                <w:szCs w:val="24"/>
              </w:rPr>
              <w:t xml:space="preserve">The policy is annually reviewed to ensure that processes are carried out in accordance with the current edition of the JCQ publication </w:t>
            </w:r>
            <w:r w:rsidRPr="00B35E33">
              <w:rPr>
                <w:rFonts w:ascii="Calibri" w:hAnsi="Calibri" w:cs="Calibri"/>
                <w:bCs/>
                <w:szCs w:val="24"/>
              </w:rPr>
              <w:t>Adjustments for candidates with disabilities and learning difficulties</w:t>
            </w:r>
            <w:r w:rsidRPr="00B35E33">
              <w:rPr>
                <w:rFonts w:ascii="Calibri" w:hAnsi="Calibri" w:cs="Calibri"/>
                <w:szCs w:val="24"/>
              </w:rPr>
              <w:t xml:space="preserve"> </w:t>
            </w:r>
            <w:r w:rsidRPr="00B35E33">
              <w:rPr>
                <w:rFonts w:ascii="Calibri" w:hAnsi="Calibri" w:cs="Calibri"/>
                <w:bCs/>
                <w:szCs w:val="24"/>
              </w:rPr>
              <w:t>Access Arrangements and Reasonable Adjustments.</w:t>
            </w:r>
          </w:p>
          <w:p w14:paraId="2D6D7BE2" w14:textId="77777777" w:rsidR="00B35E33" w:rsidRPr="00B35E33" w:rsidRDefault="00B35E33" w:rsidP="00B35E33">
            <w:pPr>
              <w:spacing w:before="120" w:after="120" w:line="276" w:lineRule="auto"/>
              <w:jc w:val="right"/>
              <w:rPr>
                <w:rFonts w:ascii="Calibri" w:hAnsi="Calibri" w:cs="Calibri"/>
                <w:szCs w:val="24"/>
              </w:rPr>
            </w:pPr>
            <w:r w:rsidRPr="00B35E33">
              <w:rPr>
                <w:rFonts w:ascii="Calibri" w:hAnsi="Calibri" w:cs="Calibri"/>
                <w:bCs/>
                <w:szCs w:val="24"/>
              </w:rPr>
              <w:t xml:space="preserve">This publication is further referred to in this policy as </w:t>
            </w:r>
            <w:hyperlink r:id="rId9" w:history="1">
              <w:r w:rsidRPr="00B35E33">
                <w:rPr>
                  <w:rStyle w:val="Hyperlink"/>
                  <w:rFonts w:ascii="Calibri" w:hAnsi="Calibri" w:cs="Calibri"/>
                  <w:szCs w:val="24"/>
                </w:rPr>
                <w:t>AA</w:t>
              </w:r>
            </w:hyperlink>
          </w:p>
          <w:p w14:paraId="5C3658DA" w14:textId="77777777" w:rsidR="00D83D8A" w:rsidRDefault="00D83D8A">
            <w:pPr>
              <w:autoSpaceDE w:val="0"/>
              <w:autoSpaceDN w:val="0"/>
              <w:adjustRightInd w:val="0"/>
              <w:spacing w:line="276" w:lineRule="auto"/>
              <w:jc w:val="both"/>
              <w:rPr>
                <w:rFonts w:ascii="Calibri" w:hAnsi="Calibri" w:cs="Arial"/>
              </w:rPr>
            </w:pPr>
          </w:p>
        </w:tc>
      </w:tr>
    </w:tbl>
    <w:p w14:paraId="6DA489A6" w14:textId="77777777" w:rsidR="00D83D8A" w:rsidRDefault="00D83D8A">
      <w:pPr>
        <w:spacing w:after="120"/>
      </w:pPr>
    </w:p>
    <w:tbl>
      <w:tblPr>
        <w:tblStyle w:val="TableGrid"/>
        <w:tblW w:w="0" w:type="auto"/>
        <w:tblLook w:val="04A0" w:firstRow="1" w:lastRow="0" w:firstColumn="1" w:lastColumn="0" w:noHBand="0" w:noVBand="1"/>
      </w:tblPr>
      <w:tblGrid>
        <w:gridCol w:w="9016"/>
      </w:tblGrid>
      <w:tr w:rsidR="00D83D8A" w14:paraId="5CAB2714" w14:textId="77777777">
        <w:tc>
          <w:tcPr>
            <w:tcW w:w="9016" w:type="dxa"/>
            <w:shd w:val="clear" w:color="auto" w:fill="7030A0"/>
            <w:vAlign w:val="center"/>
          </w:tcPr>
          <w:p w14:paraId="5C41A030" w14:textId="77777777" w:rsidR="00D83D8A" w:rsidRDefault="00355842">
            <w:pPr>
              <w:rPr>
                <w:color w:val="FFFFFF" w:themeColor="background1"/>
                <w:sz w:val="44"/>
                <w:szCs w:val="44"/>
              </w:rPr>
            </w:pPr>
            <w:r>
              <w:rPr>
                <w:color w:val="FFFFFF" w:themeColor="background1"/>
                <w:sz w:val="44"/>
                <w:szCs w:val="44"/>
              </w:rPr>
              <w:t>Definition</w:t>
            </w:r>
          </w:p>
        </w:tc>
      </w:tr>
      <w:tr w:rsidR="00D83D8A" w14:paraId="3E68467B" w14:textId="77777777">
        <w:tc>
          <w:tcPr>
            <w:tcW w:w="9016" w:type="dxa"/>
          </w:tcPr>
          <w:p w14:paraId="2D071BB5" w14:textId="77777777" w:rsidR="00D83D8A" w:rsidRDefault="00D83D8A">
            <w:pPr>
              <w:spacing w:line="276" w:lineRule="auto"/>
              <w:rPr>
                <w:rFonts w:cs="Arial"/>
                <w:i/>
                <w:sz w:val="24"/>
                <w:szCs w:val="24"/>
              </w:rPr>
            </w:pPr>
          </w:p>
          <w:p w14:paraId="04BEC8BF" w14:textId="77777777" w:rsidR="00D83D8A" w:rsidRDefault="00355842">
            <w:pPr>
              <w:spacing w:line="276" w:lineRule="auto"/>
              <w:rPr>
                <w:rFonts w:cs="Arial"/>
                <w:sz w:val="24"/>
                <w:szCs w:val="24"/>
              </w:rPr>
            </w:pPr>
            <w:r>
              <w:rPr>
                <w:rFonts w:cs="Arial"/>
                <w:sz w:val="24"/>
                <w:szCs w:val="24"/>
              </w:rPr>
              <w:t>According to the Joint Council for Qualifications (JCQ) the definition of access arrangements is as follows:</w:t>
            </w:r>
          </w:p>
          <w:p w14:paraId="262800A2" w14:textId="77777777" w:rsidR="00D83D8A" w:rsidRDefault="00D83D8A">
            <w:pPr>
              <w:spacing w:line="276" w:lineRule="auto"/>
              <w:rPr>
                <w:rFonts w:cs="Arial"/>
                <w:i/>
                <w:sz w:val="24"/>
                <w:szCs w:val="24"/>
              </w:rPr>
            </w:pPr>
          </w:p>
          <w:p w14:paraId="67AD17FF" w14:textId="77777777" w:rsidR="00D83D8A" w:rsidRDefault="00355842">
            <w:pPr>
              <w:spacing w:line="276" w:lineRule="auto"/>
              <w:rPr>
                <w:rFonts w:cs="Arial"/>
                <w:i/>
                <w:sz w:val="24"/>
                <w:szCs w:val="24"/>
              </w:rPr>
            </w:pPr>
            <w:r>
              <w:rPr>
                <w:rFonts w:cs="Arial"/>
                <w:i/>
                <w:sz w:val="24"/>
                <w:szCs w:val="24"/>
              </w:rPr>
              <w:t>“</w:t>
            </w:r>
            <w:r>
              <w:rPr>
                <w:rFonts w:cs="Arial"/>
                <w:b/>
                <w:i/>
                <w:sz w:val="24"/>
                <w:szCs w:val="24"/>
              </w:rPr>
              <w:t>Access Arrangements</w:t>
            </w:r>
          </w:p>
          <w:p w14:paraId="767E86F9" w14:textId="77777777" w:rsidR="00D83D8A" w:rsidRDefault="00355842">
            <w:pPr>
              <w:shd w:val="clear" w:color="auto" w:fill="FFFFFF"/>
              <w:spacing w:after="240" w:line="276" w:lineRule="auto"/>
              <w:rPr>
                <w:rFonts w:eastAsia="Times New Roman" w:cs="Arial"/>
                <w:i/>
                <w:sz w:val="24"/>
                <w:szCs w:val="24"/>
              </w:rPr>
            </w:pPr>
            <w:r>
              <w:rPr>
                <w:rFonts w:eastAsia="Times New Roman" w:cs="Arial"/>
                <w:i/>
                <w:sz w:val="24"/>
                <w:szCs w:val="24"/>
              </w:rPr>
              <w:t>Access Arrangements are pre-examination adjustments for candidates based on evidence of need and normal way of working. Access Arrangements fall into two distinct categories: some arrangements are delegated to centres, others require prior JCQ</w:t>
            </w:r>
            <w:r>
              <w:rPr>
                <w:rFonts w:eastAsia="Times New Roman" w:cs="Arial"/>
                <w:i/>
                <w:sz w:val="24"/>
                <w:szCs w:val="24"/>
                <w:vertAlign w:val="superscript"/>
              </w:rPr>
              <w:t>CIC</w:t>
            </w:r>
            <w:r>
              <w:rPr>
                <w:rFonts w:eastAsia="Times New Roman" w:cs="Arial"/>
                <w:i/>
                <w:sz w:val="24"/>
                <w:szCs w:val="24"/>
              </w:rPr>
              <w:t xml:space="preserve"> awarding body approval.</w:t>
            </w:r>
          </w:p>
          <w:p w14:paraId="6F0CE987" w14:textId="77777777" w:rsidR="00D83D8A" w:rsidRDefault="00355842">
            <w:pPr>
              <w:shd w:val="clear" w:color="auto" w:fill="FFFFFF"/>
              <w:spacing w:before="100" w:beforeAutospacing="1" w:after="240" w:line="276" w:lineRule="auto"/>
              <w:rPr>
                <w:rFonts w:eastAsia="Times New Roman" w:cs="Arial"/>
                <w:sz w:val="24"/>
                <w:szCs w:val="24"/>
              </w:rPr>
            </w:pPr>
            <w:r>
              <w:rPr>
                <w:rFonts w:eastAsia="Times New Roman" w:cs="Arial"/>
                <w:i/>
                <w:sz w:val="24"/>
                <w:szCs w:val="24"/>
              </w:rPr>
              <w:t>Access Arrangements allow candidates/learners with special educational needs, disabilities or temporary injuries to access the assessment without changing the demands of the assessment.  For example, readers, scribes and Braille question papers.  In this way Awarding Bodies will comply with the duty of the Equality Act 2010 to make 'reasonable adjustments'.</w:t>
            </w:r>
          </w:p>
          <w:p w14:paraId="5D67CF9C" w14:textId="77777777" w:rsidR="00B35E33" w:rsidRPr="00B35E33" w:rsidRDefault="00B35E33" w:rsidP="00B35E33">
            <w:pPr>
              <w:pStyle w:val="Headinglevel2"/>
              <w:spacing w:before="240" w:after="120"/>
              <w:rPr>
                <w:rFonts w:asciiTheme="minorHAnsi" w:hAnsiTheme="minorHAnsi" w:cstheme="minorHAnsi"/>
                <w:color w:val="auto"/>
                <w:sz w:val="22"/>
                <w:szCs w:val="22"/>
              </w:rPr>
            </w:pPr>
            <w:bookmarkStart w:id="0" w:name="_Toc523473882"/>
            <w:r w:rsidRPr="00B35E33">
              <w:rPr>
                <w:rFonts w:asciiTheme="minorHAnsi" w:hAnsiTheme="minorHAnsi" w:cstheme="minorHAnsi"/>
                <w:color w:val="auto"/>
                <w:sz w:val="22"/>
                <w:szCs w:val="22"/>
              </w:rPr>
              <w:lastRenderedPageBreak/>
              <w:t>Reasonable adjustments</w:t>
            </w:r>
            <w:bookmarkEnd w:id="0"/>
          </w:p>
          <w:p w14:paraId="72947F57" w14:textId="77777777" w:rsidR="00B35E33" w:rsidRPr="00B35E33" w:rsidRDefault="00B35E33" w:rsidP="00B35E33">
            <w:pPr>
              <w:shd w:val="clear" w:color="auto" w:fill="FFFFFF"/>
              <w:spacing w:before="120" w:after="120"/>
              <w:rPr>
                <w:rFonts w:cstheme="minorHAnsi"/>
                <w:i/>
              </w:rPr>
            </w:pPr>
            <w:r w:rsidRPr="00B35E33">
              <w:rPr>
                <w:rFonts w:cstheme="minorHAnsi"/>
                <w:i/>
              </w:rPr>
              <w:t xml:space="preserve">The Equality Act 2010* requires an awarding body to make reasonable adjustments where a candidate, who is disabled within the meaning of the Equality Act 2010, would be at a substantial disadvantage in comparison to someone who is not disabled. The awarding body is required to take reasonable steps to overcome that disadvantage. An example would be a Braille paper which would be a reasonable adjustment for a vision impaired candidate who could read Braille. A reasonable adjustment may be unique to that individual and may not be included in the list of available access arrangements. Whether an adjustment will be considered reasonable will depend on a number of factors which will include, but are not limited to: </w:t>
            </w:r>
          </w:p>
          <w:p w14:paraId="45E62D7B" w14:textId="77777777" w:rsidR="00B35E33" w:rsidRPr="00B35E33" w:rsidRDefault="00B35E33" w:rsidP="00B35E33">
            <w:pPr>
              <w:shd w:val="clear" w:color="auto" w:fill="FFFFFF"/>
              <w:rPr>
                <w:rFonts w:cstheme="minorHAnsi"/>
                <w:i/>
              </w:rPr>
            </w:pPr>
            <w:r w:rsidRPr="00B35E33">
              <w:rPr>
                <w:rFonts w:cstheme="minorHAnsi"/>
                <w:i/>
              </w:rPr>
              <w:t xml:space="preserve"> • the needs of the disabled candidate; </w:t>
            </w:r>
          </w:p>
          <w:p w14:paraId="2A6BB1B5" w14:textId="77777777" w:rsidR="00B35E33" w:rsidRPr="00B35E33" w:rsidRDefault="00B35E33" w:rsidP="00B35E33">
            <w:pPr>
              <w:shd w:val="clear" w:color="auto" w:fill="FFFFFF"/>
              <w:rPr>
                <w:rFonts w:cstheme="minorHAnsi"/>
                <w:i/>
              </w:rPr>
            </w:pPr>
            <w:r w:rsidRPr="00B35E33">
              <w:rPr>
                <w:rFonts w:cstheme="minorHAnsi"/>
                <w:i/>
              </w:rPr>
              <w:t xml:space="preserve">• the effectiveness of the adjustment; • the cost of the adjustment; and </w:t>
            </w:r>
          </w:p>
          <w:p w14:paraId="008D476C" w14:textId="77777777" w:rsidR="00B35E33" w:rsidRPr="00B35E33" w:rsidRDefault="00B35E33" w:rsidP="00B35E33">
            <w:pPr>
              <w:shd w:val="clear" w:color="auto" w:fill="FFFFFF"/>
              <w:rPr>
                <w:rFonts w:cstheme="minorHAnsi"/>
                <w:i/>
              </w:rPr>
            </w:pPr>
            <w:r w:rsidRPr="00B35E33">
              <w:rPr>
                <w:rFonts w:cstheme="minorHAnsi"/>
                <w:i/>
              </w:rPr>
              <w:t xml:space="preserve">• the likely impact of the adjustment upon the candidate and other candidates. </w:t>
            </w:r>
          </w:p>
          <w:p w14:paraId="46F9A578" w14:textId="77777777" w:rsidR="00B35E33" w:rsidRPr="00B35E33" w:rsidRDefault="00B35E33" w:rsidP="00B35E33">
            <w:pPr>
              <w:shd w:val="clear" w:color="auto" w:fill="FFFFFF"/>
              <w:spacing w:before="120"/>
              <w:rPr>
                <w:rFonts w:cstheme="minorHAnsi"/>
                <w:i/>
              </w:rPr>
            </w:pPr>
            <w:r w:rsidRPr="00B35E33">
              <w:rPr>
                <w:rFonts w:cstheme="minorHAnsi"/>
                <w:i/>
              </w:rPr>
              <w:t xml:space="preserve"> An adjustment will not be approved if it: </w:t>
            </w:r>
          </w:p>
          <w:p w14:paraId="724DBF03" w14:textId="77777777" w:rsidR="00B35E33" w:rsidRPr="00B35E33" w:rsidRDefault="00B35E33" w:rsidP="00B35E33">
            <w:pPr>
              <w:shd w:val="clear" w:color="auto" w:fill="FFFFFF"/>
              <w:rPr>
                <w:rFonts w:cstheme="minorHAnsi"/>
                <w:i/>
              </w:rPr>
            </w:pPr>
            <w:r w:rsidRPr="00B35E33">
              <w:rPr>
                <w:rFonts w:cstheme="minorHAnsi"/>
                <w:i/>
              </w:rPr>
              <w:t xml:space="preserve"> • involves unreasonable costs to the awarding body; </w:t>
            </w:r>
          </w:p>
          <w:p w14:paraId="2BA5DA44" w14:textId="77777777" w:rsidR="00B35E33" w:rsidRPr="00B35E33" w:rsidRDefault="00B35E33" w:rsidP="00B35E33">
            <w:pPr>
              <w:shd w:val="clear" w:color="auto" w:fill="FFFFFF"/>
              <w:rPr>
                <w:rFonts w:cstheme="minorHAnsi"/>
                <w:i/>
              </w:rPr>
            </w:pPr>
            <w:r w:rsidRPr="00B35E33">
              <w:rPr>
                <w:rFonts w:cstheme="minorHAnsi"/>
                <w:i/>
              </w:rPr>
              <w:t xml:space="preserve">• involves unreasonable timeframes; or </w:t>
            </w:r>
          </w:p>
          <w:p w14:paraId="14B32611" w14:textId="77777777" w:rsidR="00B35E33" w:rsidRPr="00B35E33" w:rsidRDefault="00B35E33" w:rsidP="00B35E33">
            <w:pPr>
              <w:shd w:val="clear" w:color="auto" w:fill="FFFFFF"/>
              <w:rPr>
                <w:rFonts w:cstheme="minorHAnsi"/>
                <w:i/>
              </w:rPr>
            </w:pPr>
            <w:r w:rsidRPr="00B35E33">
              <w:rPr>
                <w:rFonts w:cstheme="minorHAnsi"/>
                <w:i/>
              </w:rPr>
              <w:t xml:space="preserve">• affects the security and integrity of the assessment. </w:t>
            </w:r>
          </w:p>
          <w:p w14:paraId="37C818F7" w14:textId="77777777" w:rsidR="00B35E33" w:rsidRPr="00CD12A7" w:rsidRDefault="00B35E33" w:rsidP="00B35E33">
            <w:pPr>
              <w:shd w:val="clear" w:color="auto" w:fill="FFFFFF"/>
              <w:spacing w:before="120" w:after="120"/>
              <w:rPr>
                <w:rFonts w:cs="Arial"/>
              </w:rPr>
            </w:pPr>
            <w:r w:rsidRPr="00B35E33">
              <w:rPr>
                <w:rFonts w:cstheme="minorHAnsi"/>
                <w:i/>
              </w:rPr>
              <w:t xml:space="preserve"> This is because the adjustment is not ‘reasonable’.”</w:t>
            </w:r>
            <w:r w:rsidRPr="00B35E33">
              <w:rPr>
                <w:rFonts w:cstheme="minorHAnsi"/>
              </w:rPr>
              <w:t xml:space="preserve">                                                          [</w:t>
            </w:r>
            <w:hyperlink r:id="rId10" w:history="1">
              <w:r w:rsidRPr="00B35E33">
                <w:rPr>
                  <w:rStyle w:val="Hyperlink"/>
                  <w:rFonts w:cstheme="minorHAnsi"/>
                  <w:color w:val="auto"/>
                </w:rPr>
                <w:t>AA</w:t>
              </w:r>
            </w:hyperlink>
            <w:r w:rsidRPr="00B35E33">
              <w:rPr>
                <w:rFonts w:cstheme="minorHAnsi"/>
              </w:rPr>
              <w:t xml:space="preserve"> Definitions, page</w:t>
            </w:r>
            <w:r w:rsidRPr="00B35E33">
              <w:rPr>
                <w:rFonts w:ascii="Rockwell Condensed" w:hAnsi="Rockwell Condensed"/>
              </w:rPr>
              <w:t xml:space="preserve"> </w:t>
            </w:r>
            <w:r w:rsidRPr="00CD12A7">
              <w:rPr>
                <w:rFonts w:ascii="Rockwell Condensed" w:hAnsi="Rockwell Condensed"/>
              </w:rPr>
              <w:t>3]</w:t>
            </w:r>
          </w:p>
          <w:p w14:paraId="12729DD1" w14:textId="77777777" w:rsidR="00D83D8A" w:rsidRDefault="00D83D8A">
            <w:pPr>
              <w:pStyle w:val="Heading1"/>
              <w:spacing w:before="0" w:beforeAutospacing="0" w:after="0" w:afterAutospacing="0"/>
              <w:rPr>
                <w:rFonts w:ascii="Arial" w:hAnsi="Arial" w:cs="Arial"/>
              </w:rPr>
            </w:pPr>
          </w:p>
          <w:p w14:paraId="521D057C" w14:textId="77777777" w:rsidR="00D83D8A" w:rsidRDefault="00D83D8A">
            <w:pPr>
              <w:pStyle w:val="Heading1"/>
              <w:spacing w:before="0" w:beforeAutospacing="0" w:after="0" w:afterAutospacing="0"/>
              <w:rPr>
                <w:rFonts w:ascii="Calibri" w:hAnsi="Calibri" w:cs="Calibri"/>
              </w:rPr>
            </w:pPr>
          </w:p>
        </w:tc>
      </w:tr>
    </w:tbl>
    <w:p w14:paraId="4164ADC2" w14:textId="77777777" w:rsidR="00D83D8A" w:rsidRDefault="00D83D8A">
      <w:pPr>
        <w:spacing w:after="120"/>
      </w:pPr>
    </w:p>
    <w:tbl>
      <w:tblPr>
        <w:tblStyle w:val="TableGrid"/>
        <w:tblW w:w="9338" w:type="dxa"/>
        <w:tblLook w:val="04A0" w:firstRow="1" w:lastRow="0" w:firstColumn="1" w:lastColumn="0" w:noHBand="0" w:noVBand="1"/>
      </w:tblPr>
      <w:tblGrid>
        <w:gridCol w:w="9338"/>
      </w:tblGrid>
      <w:tr w:rsidR="00D83D8A" w14:paraId="6E7464E0" w14:textId="77777777">
        <w:trPr>
          <w:trHeight w:val="662"/>
        </w:trPr>
        <w:tc>
          <w:tcPr>
            <w:tcW w:w="9338" w:type="dxa"/>
            <w:shd w:val="clear" w:color="auto" w:fill="7030A0"/>
            <w:vAlign w:val="center"/>
          </w:tcPr>
          <w:p w14:paraId="4E6AB37B" w14:textId="77777777" w:rsidR="00D83D8A" w:rsidRDefault="00355842">
            <w:pPr>
              <w:rPr>
                <w:color w:val="FFFFFF" w:themeColor="background1"/>
                <w:sz w:val="44"/>
                <w:szCs w:val="44"/>
              </w:rPr>
            </w:pPr>
            <w:r>
              <w:rPr>
                <w:color w:val="FFFFFF" w:themeColor="background1"/>
                <w:sz w:val="44"/>
                <w:szCs w:val="44"/>
              </w:rPr>
              <w:t>Access Arrangements Process:</w:t>
            </w:r>
          </w:p>
        </w:tc>
      </w:tr>
      <w:tr w:rsidR="00D83D8A" w14:paraId="1AC2B704" w14:textId="77777777">
        <w:trPr>
          <w:trHeight w:val="1219"/>
        </w:trPr>
        <w:tc>
          <w:tcPr>
            <w:tcW w:w="9338" w:type="dxa"/>
          </w:tcPr>
          <w:p w14:paraId="024ED47F" w14:textId="77777777" w:rsidR="00D83D8A" w:rsidRDefault="00D83D8A">
            <w:pPr>
              <w:pStyle w:val="NormalWeb"/>
              <w:spacing w:before="0" w:beforeAutospacing="0" w:after="0" w:afterAutospacing="0"/>
              <w:rPr>
                <w:rFonts w:asciiTheme="minorHAnsi" w:hAnsiTheme="minorHAnsi" w:cs="Arial"/>
                <w:sz w:val="22"/>
                <w:szCs w:val="22"/>
              </w:rPr>
            </w:pPr>
          </w:p>
          <w:p w14:paraId="253ACE00" w14:textId="77777777" w:rsidR="00D83D8A" w:rsidRDefault="00355842">
            <w:pPr>
              <w:spacing w:line="276" w:lineRule="auto"/>
              <w:rPr>
                <w:sz w:val="24"/>
                <w:szCs w:val="24"/>
              </w:rPr>
            </w:pPr>
            <w:r>
              <w:rPr>
                <w:sz w:val="24"/>
                <w:szCs w:val="24"/>
              </w:rPr>
              <w:t>Assessments are carried out by an assessor(s) appointed by the school.  The assessor(s) is (are) appropriately qualified as required in JCQ regulations as follows:</w:t>
            </w:r>
          </w:p>
          <w:p w14:paraId="5BFDA2E1" w14:textId="77777777" w:rsidR="00D83D8A" w:rsidRDefault="00D83D8A">
            <w:pPr>
              <w:autoSpaceDE w:val="0"/>
              <w:autoSpaceDN w:val="0"/>
              <w:adjustRightInd w:val="0"/>
              <w:rPr>
                <w:rFonts w:ascii="Tahoma" w:hAnsi="Tahoma" w:cs="Tahoma"/>
                <w:color w:val="000000"/>
                <w:sz w:val="24"/>
                <w:szCs w:val="24"/>
              </w:rPr>
            </w:pPr>
          </w:p>
          <w:p w14:paraId="2C5E6A28" w14:textId="77777777" w:rsidR="00D83D8A" w:rsidRDefault="00355842">
            <w:pPr>
              <w:pStyle w:val="ListParagraph"/>
              <w:numPr>
                <w:ilvl w:val="0"/>
                <w:numId w:val="29"/>
              </w:numPr>
              <w:autoSpaceDE w:val="0"/>
              <w:autoSpaceDN w:val="0"/>
              <w:adjustRightInd w:val="0"/>
              <w:spacing w:after="12"/>
              <w:rPr>
                <w:rFonts w:ascii="Arial" w:hAnsi="Arial" w:cs="Arial"/>
                <w:i/>
                <w:color w:val="000000"/>
                <w:sz w:val="24"/>
                <w:szCs w:val="24"/>
              </w:rPr>
            </w:pPr>
            <w:r>
              <w:rPr>
                <w:rFonts w:cs="Arial"/>
                <w:bCs/>
                <w:i/>
                <w:color w:val="000000"/>
                <w:sz w:val="24"/>
                <w:szCs w:val="24"/>
              </w:rPr>
              <w:t xml:space="preserve">an access arrangements assessor who has successfully completed a post-graduate course at or equivalent to Level 7, including at least 100 hours relating to individual specialist assessment. </w:t>
            </w:r>
            <w:r>
              <w:rPr>
                <w:rFonts w:cs="Arial"/>
                <w:i/>
                <w:color w:val="000000"/>
                <w:sz w:val="24"/>
                <w:szCs w:val="24"/>
              </w:rPr>
              <w:t xml:space="preserve">An access arrangements assessor may conduct assessments to be recorded within Section C of Form 8; </w:t>
            </w:r>
            <w:r>
              <w:rPr>
                <w:rFonts w:cs="Arial"/>
                <w:bCs/>
                <w:i/>
                <w:color w:val="000000"/>
                <w:sz w:val="24"/>
                <w:szCs w:val="24"/>
              </w:rPr>
              <w:t xml:space="preserve">and/or </w:t>
            </w:r>
          </w:p>
          <w:p w14:paraId="3D1B40E5" w14:textId="77777777" w:rsidR="00D83D8A" w:rsidRDefault="00355842">
            <w:pPr>
              <w:pStyle w:val="ListParagraph"/>
              <w:numPr>
                <w:ilvl w:val="0"/>
                <w:numId w:val="29"/>
              </w:numPr>
              <w:autoSpaceDE w:val="0"/>
              <w:autoSpaceDN w:val="0"/>
              <w:adjustRightInd w:val="0"/>
              <w:spacing w:after="12"/>
              <w:rPr>
                <w:rFonts w:cs="Arial"/>
                <w:i/>
                <w:color w:val="000000"/>
                <w:sz w:val="24"/>
                <w:szCs w:val="24"/>
              </w:rPr>
            </w:pPr>
            <w:r>
              <w:rPr>
                <w:rFonts w:cs="Arial"/>
                <w:bCs/>
                <w:i/>
                <w:color w:val="000000"/>
                <w:sz w:val="24"/>
                <w:szCs w:val="24"/>
              </w:rPr>
              <w:t xml:space="preserve">an appropriately qualified psychologist registered with the Health &amp; Care Professions Council </w:t>
            </w:r>
            <w:r>
              <w:rPr>
                <w:rFonts w:cs="Arial"/>
                <w:i/>
                <w:color w:val="000000"/>
                <w:sz w:val="24"/>
                <w:szCs w:val="24"/>
              </w:rPr>
              <w:t xml:space="preserve">who may conduct assessments to be recorded within Section C of Form 8 and where necessary undertake full diagnostic assessments; </w:t>
            </w:r>
            <w:r>
              <w:rPr>
                <w:rFonts w:cs="Arial"/>
                <w:bCs/>
                <w:i/>
                <w:color w:val="000000"/>
                <w:sz w:val="24"/>
                <w:szCs w:val="24"/>
              </w:rPr>
              <w:t xml:space="preserve">and/or </w:t>
            </w:r>
          </w:p>
          <w:p w14:paraId="59956C27" w14:textId="77777777" w:rsidR="00D83D8A" w:rsidRDefault="00355842">
            <w:pPr>
              <w:pStyle w:val="ListParagraph"/>
              <w:numPr>
                <w:ilvl w:val="0"/>
                <w:numId w:val="29"/>
              </w:numPr>
              <w:autoSpaceDE w:val="0"/>
              <w:autoSpaceDN w:val="0"/>
              <w:adjustRightInd w:val="0"/>
              <w:spacing w:after="12"/>
              <w:rPr>
                <w:rFonts w:cs="Arial"/>
                <w:i/>
                <w:color w:val="000000"/>
                <w:sz w:val="24"/>
                <w:szCs w:val="24"/>
              </w:rPr>
            </w:pPr>
            <w:r>
              <w:rPr>
                <w:rFonts w:cs="Arial"/>
                <w:bCs/>
                <w:i/>
                <w:color w:val="000000"/>
                <w:sz w:val="24"/>
                <w:szCs w:val="24"/>
              </w:rPr>
              <w:t>a specialist assessor with a current SpLD Assessment Practising Certificate, as awarded by Patoss, Dyslexia Action or BDA and listed on the SASC website</w:t>
            </w:r>
            <w:r>
              <w:rPr>
                <w:rFonts w:cs="Arial"/>
                <w:i/>
                <w:color w:val="000000"/>
                <w:sz w:val="24"/>
                <w:szCs w:val="24"/>
              </w:rPr>
              <w:t xml:space="preserve">, who may conduct assessments to be recorded within Section C of Form 8 and where necessary undertake full diagnostic assessments. </w:t>
            </w:r>
          </w:p>
          <w:p w14:paraId="546301A3" w14:textId="77777777" w:rsidR="00D83D8A" w:rsidRDefault="00355842">
            <w:pPr>
              <w:spacing w:line="276" w:lineRule="auto"/>
              <w:rPr>
                <w:sz w:val="24"/>
                <w:szCs w:val="24"/>
              </w:rPr>
            </w:pPr>
            <w:r>
              <w:rPr>
                <w:sz w:val="24"/>
                <w:szCs w:val="24"/>
              </w:rPr>
              <w:t>and</w:t>
            </w:r>
          </w:p>
          <w:p w14:paraId="7542B283" w14:textId="77777777" w:rsidR="00D83D8A" w:rsidRDefault="00355842">
            <w:pPr>
              <w:autoSpaceDE w:val="0"/>
              <w:autoSpaceDN w:val="0"/>
              <w:adjustRightInd w:val="0"/>
              <w:spacing w:after="120"/>
              <w:ind w:left="425"/>
              <w:rPr>
                <w:rFonts w:cs="Arial"/>
                <w:i/>
                <w:color w:val="000000"/>
                <w:sz w:val="24"/>
                <w:szCs w:val="24"/>
              </w:rPr>
            </w:pPr>
            <w:r>
              <w:rPr>
                <w:rFonts w:cs="Arial"/>
                <w:bCs/>
                <w:i/>
                <w:color w:val="000000"/>
                <w:sz w:val="24"/>
                <w:szCs w:val="24"/>
              </w:rPr>
              <w:lastRenderedPageBreak/>
              <w:t xml:space="preserve">An access arrangements assessor must have successfully completed a post-graduate course at or equivalent to Level 7, including at least 100 hours relating to individual specialist assessment, which must include training in all of the following: </w:t>
            </w:r>
          </w:p>
          <w:p w14:paraId="1AC745CD" w14:textId="77777777" w:rsidR="00D83D8A" w:rsidRDefault="00355842">
            <w:pPr>
              <w:pStyle w:val="ListParagraph"/>
              <w:numPr>
                <w:ilvl w:val="0"/>
                <w:numId w:val="30"/>
              </w:numPr>
              <w:autoSpaceDE w:val="0"/>
              <w:autoSpaceDN w:val="0"/>
              <w:adjustRightInd w:val="0"/>
              <w:spacing w:after="20"/>
              <w:rPr>
                <w:rFonts w:cs="Arial"/>
                <w:i/>
                <w:color w:val="000000"/>
                <w:sz w:val="24"/>
                <w:szCs w:val="24"/>
              </w:rPr>
            </w:pPr>
            <w:r>
              <w:rPr>
                <w:rFonts w:cs="Arial"/>
                <w:i/>
                <w:color w:val="000000"/>
                <w:sz w:val="24"/>
                <w:szCs w:val="24"/>
              </w:rPr>
              <w:t xml:space="preserve">the theoretical basis underlying psychometric tests, such as the concepts of validity and reliability; standard deviations and the normal curve; raw scores, standard scores, quotients, percentiles and age equivalent scores; the concept of statistically significant discrepancies between scores; standard error of measurement and confidence intervals; </w:t>
            </w:r>
          </w:p>
          <w:p w14:paraId="69CD86D6" w14:textId="77777777" w:rsidR="00D83D8A" w:rsidRDefault="00355842">
            <w:pPr>
              <w:pStyle w:val="ListParagraph"/>
              <w:numPr>
                <w:ilvl w:val="0"/>
                <w:numId w:val="31"/>
              </w:numPr>
              <w:autoSpaceDE w:val="0"/>
              <w:autoSpaceDN w:val="0"/>
              <w:adjustRightInd w:val="0"/>
              <w:spacing w:after="20"/>
              <w:rPr>
                <w:rFonts w:cs="Arial"/>
                <w:i/>
                <w:color w:val="000000"/>
                <w:sz w:val="24"/>
                <w:szCs w:val="24"/>
              </w:rPr>
            </w:pPr>
            <w:r>
              <w:rPr>
                <w:rFonts w:cs="Arial"/>
                <w:i/>
                <w:color w:val="000000"/>
                <w:sz w:val="24"/>
                <w:szCs w:val="24"/>
              </w:rPr>
              <w:t xml:space="preserve">the appropriate use of nationally standardised tests for the age group being tested; </w:t>
            </w:r>
          </w:p>
          <w:p w14:paraId="0CBAB6E2" w14:textId="77777777" w:rsidR="00D83D8A" w:rsidRDefault="00355842">
            <w:pPr>
              <w:pStyle w:val="ListParagraph"/>
              <w:numPr>
                <w:ilvl w:val="0"/>
                <w:numId w:val="31"/>
              </w:numPr>
              <w:autoSpaceDE w:val="0"/>
              <w:autoSpaceDN w:val="0"/>
              <w:adjustRightInd w:val="0"/>
              <w:spacing w:after="20"/>
              <w:rPr>
                <w:rFonts w:cs="Arial"/>
                <w:i/>
                <w:color w:val="000000"/>
                <w:sz w:val="24"/>
                <w:szCs w:val="24"/>
              </w:rPr>
            </w:pPr>
            <w:r>
              <w:rPr>
                <w:rFonts w:cs="Arial"/>
                <w:i/>
                <w:color w:val="000000"/>
                <w:sz w:val="24"/>
                <w:szCs w:val="24"/>
              </w:rPr>
              <w:t xml:space="preserve">the objective administration of attainment tests which can be administered individually. This must include tests of reading accuracy, reading speed, reading comprehension and spelling. Appropriate methods of assessing writing skills, including speed, must also be covered; </w:t>
            </w:r>
          </w:p>
          <w:p w14:paraId="7206A83B" w14:textId="77777777" w:rsidR="00D83D8A" w:rsidRDefault="00355842">
            <w:pPr>
              <w:pStyle w:val="ListParagraph"/>
              <w:numPr>
                <w:ilvl w:val="0"/>
                <w:numId w:val="31"/>
              </w:numPr>
              <w:autoSpaceDE w:val="0"/>
              <w:autoSpaceDN w:val="0"/>
              <w:adjustRightInd w:val="0"/>
              <w:spacing w:after="20"/>
              <w:rPr>
                <w:rFonts w:cs="Arial"/>
                <w:i/>
                <w:color w:val="000000"/>
                <w:sz w:val="24"/>
                <w:szCs w:val="24"/>
              </w:rPr>
            </w:pPr>
            <w:r>
              <w:rPr>
                <w:rFonts w:cs="Arial"/>
                <w:i/>
                <w:color w:val="000000"/>
                <w:sz w:val="24"/>
                <w:szCs w:val="24"/>
              </w:rPr>
              <w:t xml:space="preserve">the appropriate selection and objective use of tests of cognitive skills, </w:t>
            </w:r>
            <w:r>
              <w:rPr>
                <w:rFonts w:cs="Arial"/>
                <w:b/>
                <w:bCs/>
                <w:i/>
                <w:color w:val="000000"/>
                <w:sz w:val="24"/>
                <w:szCs w:val="24"/>
              </w:rPr>
              <w:t>see paragraph 7.5.12, page 86</w:t>
            </w:r>
            <w:r>
              <w:rPr>
                <w:rFonts w:cs="Arial"/>
                <w:i/>
                <w:color w:val="000000"/>
                <w:sz w:val="24"/>
                <w:szCs w:val="24"/>
              </w:rPr>
              <w:t xml:space="preserve">; </w:t>
            </w:r>
          </w:p>
          <w:p w14:paraId="0470DF1E" w14:textId="77777777" w:rsidR="00D83D8A" w:rsidRDefault="00355842">
            <w:pPr>
              <w:pStyle w:val="ListParagraph"/>
              <w:numPr>
                <w:ilvl w:val="0"/>
                <w:numId w:val="31"/>
              </w:numPr>
              <w:autoSpaceDE w:val="0"/>
              <w:autoSpaceDN w:val="0"/>
              <w:adjustRightInd w:val="0"/>
              <w:rPr>
                <w:rFonts w:cs="Arial"/>
                <w:i/>
                <w:color w:val="000000"/>
                <w:sz w:val="24"/>
                <w:szCs w:val="24"/>
              </w:rPr>
            </w:pPr>
            <w:r>
              <w:rPr>
                <w:rFonts w:cs="Arial"/>
                <w:i/>
                <w:color w:val="000000"/>
                <w:sz w:val="24"/>
                <w:szCs w:val="24"/>
              </w:rPr>
              <w:t>the ethical administration of testing including the ability to understand the limitation of their own skills and experience, and to define when it is necessary to refer the candidate to an alternative professional...</w:t>
            </w:r>
            <w:r>
              <w:rPr>
                <w:rFonts w:cs="Arial"/>
                <w:b/>
                <w:bCs/>
                <w:i/>
                <w:color w:val="000000"/>
                <w:sz w:val="24"/>
                <w:szCs w:val="24"/>
              </w:rPr>
              <w:t xml:space="preserve"> </w:t>
            </w:r>
          </w:p>
          <w:p w14:paraId="792C22CA" w14:textId="77777777" w:rsidR="00D83D8A" w:rsidRDefault="00355842">
            <w:pPr>
              <w:jc w:val="right"/>
              <w:rPr>
                <w:rFonts w:cs="Arial"/>
                <w:sz w:val="24"/>
                <w:szCs w:val="24"/>
              </w:rPr>
            </w:pPr>
            <w:r>
              <w:rPr>
                <w:rFonts w:cs="Arial"/>
                <w:sz w:val="24"/>
                <w:szCs w:val="24"/>
              </w:rPr>
              <w:t>[</w:t>
            </w:r>
            <w:hyperlink r:id="rId11" w:history="1">
              <w:r>
                <w:rPr>
                  <w:rStyle w:val="Hyperlink"/>
                  <w:rFonts w:cs="Arial"/>
                  <w:sz w:val="24"/>
                  <w:szCs w:val="24"/>
                </w:rPr>
                <w:t>AA</w:t>
              </w:r>
            </w:hyperlink>
            <w:r>
              <w:rPr>
                <w:rFonts w:cs="Arial"/>
                <w:sz w:val="24"/>
                <w:szCs w:val="24"/>
              </w:rPr>
              <w:t xml:space="preserve"> 7.3]</w:t>
            </w:r>
          </w:p>
          <w:p w14:paraId="2D3F959F" w14:textId="77777777" w:rsidR="00D83D8A" w:rsidRDefault="00D83D8A">
            <w:pPr>
              <w:rPr>
                <w:rFonts w:cs="Arial"/>
                <w:b/>
                <w:sz w:val="24"/>
                <w:szCs w:val="24"/>
              </w:rPr>
            </w:pPr>
          </w:p>
          <w:p w14:paraId="7B5BC083" w14:textId="77777777" w:rsidR="00D83D8A" w:rsidRDefault="00355842">
            <w:pPr>
              <w:rPr>
                <w:rFonts w:cs="Arial"/>
                <w:b/>
                <w:sz w:val="24"/>
                <w:szCs w:val="24"/>
              </w:rPr>
            </w:pPr>
            <w:r>
              <w:rPr>
                <w:rFonts w:cs="Arial"/>
                <w:b/>
                <w:sz w:val="24"/>
                <w:szCs w:val="24"/>
              </w:rPr>
              <w:t>Checking Assessor Qualifications:</w:t>
            </w:r>
          </w:p>
          <w:p w14:paraId="09F553EF" w14:textId="77777777" w:rsidR="00D83D8A" w:rsidRDefault="00D83D8A">
            <w:pPr>
              <w:rPr>
                <w:rFonts w:cs="Arial"/>
                <w:sz w:val="24"/>
                <w:szCs w:val="24"/>
              </w:rPr>
            </w:pPr>
          </w:p>
          <w:p w14:paraId="23A1B27F" w14:textId="77777777" w:rsidR="00D83D8A" w:rsidRDefault="00355842">
            <w:pPr>
              <w:rPr>
                <w:bCs/>
                <w:sz w:val="24"/>
                <w:szCs w:val="24"/>
              </w:rPr>
            </w:pPr>
            <w:r>
              <w:rPr>
                <w:bCs/>
                <w:sz w:val="24"/>
                <w:szCs w:val="24"/>
              </w:rPr>
              <w:t xml:space="preserve">The SENCo is responsible for checking the Assessors’ qualifications. </w:t>
            </w:r>
          </w:p>
          <w:p w14:paraId="0D496E3C" w14:textId="77777777" w:rsidR="00D83D8A" w:rsidRDefault="00D83D8A">
            <w:pPr>
              <w:rPr>
                <w:bCs/>
                <w:sz w:val="24"/>
                <w:szCs w:val="24"/>
              </w:rPr>
            </w:pPr>
          </w:p>
          <w:p w14:paraId="55169AD5" w14:textId="77777777" w:rsidR="00D83D8A" w:rsidRDefault="00355842">
            <w:pPr>
              <w:rPr>
                <w:bCs/>
                <w:sz w:val="24"/>
                <w:szCs w:val="24"/>
              </w:rPr>
            </w:pPr>
            <w:r>
              <w:rPr>
                <w:bCs/>
                <w:sz w:val="24"/>
                <w:szCs w:val="24"/>
              </w:rPr>
              <w:t>Evidence of the assessor’s qualification(s) will be held on file for inspection purposes and be presented to the JCQ Centre Inspector by the SENCo.</w:t>
            </w:r>
          </w:p>
          <w:p w14:paraId="5F3ECF91" w14:textId="77777777" w:rsidR="00D83D8A" w:rsidRDefault="00D83D8A">
            <w:pPr>
              <w:rPr>
                <w:bCs/>
                <w:sz w:val="24"/>
                <w:szCs w:val="24"/>
              </w:rPr>
            </w:pPr>
          </w:p>
          <w:p w14:paraId="07ADE6FD" w14:textId="77777777" w:rsidR="00D83D8A" w:rsidRDefault="00355842">
            <w:pPr>
              <w:rPr>
                <w:b/>
                <w:bCs/>
                <w:sz w:val="24"/>
                <w:szCs w:val="24"/>
              </w:rPr>
            </w:pPr>
            <w:r>
              <w:rPr>
                <w:b/>
                <w:bCs/>
                <w:sz w:val="24"/>
                <w:szCs w:val="24"/>
              </w:rPr>
              <w:t>The Assessment Process:</w:t>
            </w:r>
          </w:p>
          <w:p w14:paraId="35832E4F" w14:textId="77777777" w:rsidR="00D83D8A" w:rsidRDefault="00D83D8A">
            <w:pPr>
              <w:rPr>
                <w:bCs/>
                <w:sz w:val="24"/>
                <w:szCs w:val="24"/>
              </w:rPr>
            </w:pPr>
          </w:p>
          <w:p w14:paraId="04946199" w14:textId="77777777" w:rsidR="00D83D8A" w:rsidRDefault="00355842">
            <w:pPr>
              <w:rPr>
                <w:sz w:val="24"/>
                <w:szCs w:val="24"/>
              </w:rPr>
            </w:pPr>
            <w:r>
              <w:rPr>
                <w:sz w:val="24"/>
                <w:szCs w:val="24"/>
              </w:rPr>
              <w:t xml:space="preserve">The SENCo is responsible for ensuring that the assessment process is administered correctly. </w:t>
            </w:r>
          </w:p>
          <w:p w14:paraId="4B70D657" w14:textId="77777777" w:rsidR="00D83D8A" w:rsidRDefault="00D83D8A">
            <w:pPr>
              <w:rPr>
                <w:b/>
                <w:sz w:val="24"/>
                <w:szCs w:val="24"/>
              </w:rPr>
            </w:pPr>
          </w:p>
          <w:p w14:paraId="42DBA471" w14:textId="77777777" w:rsidR="00D83D8A" w:rsidRDefault="00355842">
            <w:pPr>
              <w:rPr>
                <w:rFonts w:cs="Arial"/>
                <w:b/>
                <w:sz w:val="24"/>
                <w:szCs w:val="24"/>
              </w:rPr>
            </w:pPr>
            <w:r>
              <w:rPr>
                <w:rFonts w:cs="Arial"/>
                <w:b/>
                <w:sz w:val="24"/>
                <w:szCs w:val="24"/>
              </w:rPr>
              <w:t>Gathering Evidence for the Normal Way of Working:</w:t>
            </w:r>
          </w:p>
          <w:p w14:paraId="7F405EE9" w14:textId="77777777" w:rsidR="00D83D8A" w:rsidRDefault="00D83D8A">
            <w:pPr>
              <w:rPr>
                <w:rFonts w:cs="Arial"/>
                <w:sz w:val="24"/>
                <w:szCs w:val="24"/>
              </w:rPr>
            </w:pPr>
          </w:p>
          <w:p w14:paraId="63860502" w14:textId="77777777" w:rsidR="00D83D8A" w:rsidRDefault="00355842">
            <w:pPr>
              <w:autoSpaceDE w:val="0"/>
              <w:autoSpaceDN w:val="0"/>
              <w:adjustRightInd w:val="0"/>
              <w:spacing w:after="120" w:line="276" w:lineRule="auto"/>
              <w:rPr>
                <w:rFonts w:cs="Arial"/>
                <w:bCs/>
                <w:sz w:val="24"/>
                <w:szCs w:val="24"/>
              </w:rPr>
            </w:pPr>
            <w:r>
              <w:rPr>
                <w:rFonts w:cs="Arial"/>
                <w:bCs/>
                <w:sz w:val="24"/>
                <w:szCs w:val="24"/>
              </w:rPr>
              <w:t>The normal way of working as defined by JCQ is</w:t>
            </w:r>
          </w:p>
          <w:p w14:paraId="277AFB04" w14:textId="77777777" w:rsidR="00D83D8A" w:rsidRDefault="00355842">
            <w:pPr>
              <w:autoSpaceDE w:val="0"/>
              <w:autoSpaceDN w:val="0"/>
              <w:adjustRightInd w:val="0"/>
              <w:spacing w:line="276" w:lineRule="auto"/>
              <w:rPr>
                <w:rFonts w:cs="Arial"/>
                <w:bCs/>
                <w:i/>
                <w:sz w:val="24"/>
                <w:szCs w:val="24"/>
              </w:rPr>
            </w:pPr>
            <w:r>
              <w:rPr>
                <w:rFonts w:cs="Arial"/>
                <w:bCs/>
                <w:i/>
                <w:sz w:val="24"/>
                <w:szCs w:val="24"/>
              </w:rPr>
              <w:t xml:space="preserve">“The arrangement(s) put in place must reflect the support given to the candidate in the centre†, </w:t>
            </w:r>
            <w:r>
              <w:rPr>
                <w:rFonts w:cs="Arial"/>
                <w:i/>
                <w:sz w:val="24"/>
                <w:szCs w:val="24"/>
              </w:rPr>
              <w:t>e.g.</w:t>
            </w:r>
          </w:p>
          <w:p w14:paraId="33FC8166" w14:textId="77777777" w:rsidR="00D83D8A" w:rsidRDefault="00355842">
            <w:pPr>
              <w:pStyle w:val="ListParagraph"/>
              <w:numPr>
                <w:ilvl w:val="0"/>
                <w:numId w:val="32"/>
              </w:numPr>
              <w:autoSpaceDE w:val="0"/>
              <w:autoSpaceDN w:val="0"/>
              <w:adjustRightInd w:val="0"/>
              <w:spacing w:line="276" w:lineRule="auto"/>
              <w:rPr>
                <w:rFonts w:cs="Arial"/>
                <w:bCs/>
                <w:i/>
                <w:sz w:val="24"/>
                <w:szCs w:val="24"/>
              </w:rPr>
            </w:pPr>
            <w:r>
              <w:rPr>
                <w:rFonts w:cs="Arial"/>
                <w:i/>
                <w:sz w:val="24"/>
                <w:szCs w:val="24"/>
              </w:rPr>
              <w:t xml:space="preserve">in the classroom; </w:t>
            </w:r>
          </w:p>
          <w:p w14:paraId="78FD01B0" w14:textId="77777777" w:rsidR="00D83D8A" w:rsidRDefault="00355842">
            <w:pPr>
              <w:pStyle w:val="ListParagraph"/>
              <w:numPr>
                <w:ilvl w:val="0"/>
                <w:numId w:val="32"/>
              </w:numPr>
              <w:autoSpaceDE w:val="0"/>
              <w:autoSpaceDN w:val="0"/>
              <w:adjustRightInd w:val="0"/>
              <w:spacing w:line="276" w:lineRule="auto"/>
              <w:rPr>
                <w:rFonts w:cs="Arial"/>
                <w:bCs/>
                <w:i/>
                <w:sz w:val="24"/>
                <w:szCs w:val="24"/>
              </w:rPr>
            </w:pPr>
            <w:r>
              <w:rPr>
                <w:rFonts w:cs="Arial"/>
                <w:i/>
                <w:sz w:val="24"/>
                <w:szCs w:val="24"/>
              </w:rPr>
              <w:t xml:space="preserve">working in small groups for reading and/or writing; </w:t>
            </w:r>
          </w:p>
          <w:p w14:paraId="1D36C2C3" w14:textId="77777777" w:rsidR="00D83D8A" w:rsidRDefault="00355842">
            <w:pPr>
              <w:pStyle w:val="ListParagraph"/>
              <w:numPr>
                <w:ilvl w:val="0"/>
                <w:numId w:val="32"/>
              </w:numPr>
              <w:autoSpaceDE w:val="0"/>
              <w:autoSpaceDN w:val="0"/>
              <w:adjustRightInd w:val="0"/>
              <w:spacing w:line="276" w:lineRule="auto"/>
              <w:rPr>
                <w:rFonts w:cs="Arial"/>
                <w:bCs/>
                <w:i/>
                <w:sz w:val="24"/>
                <w:szCs w:val="24"/>
              </w:rPr>
            </w:pPr>
            <w:r>
              <w:rPr>
                <w:rFonts w:cs="Arial"/>
                <w:i/>
                <w:sz w:val="24"/>
                <w:szCs w:val="24"/>
              </w:rPr>
              <w:t>literacy support lessons;</w:t>
            </w:r>
          </w:p>
          <w:p w14:paraId="58DA7633" w14:textId="77777777" w:rsidR="00D83D8A" w:rsidRDefault="00355842">
            <w:pPr>
              <w:pStyle w:val="ListParagraph"/>
              <w:numPr>
                <w:ilvl w:val="0"/>
                <w:numId w:val="32"/>
              </w:numPr>
              <w:autoSpaceDE w:val="0"/>
              <w:autoSpaceDN w:val="0"/>
              <w:adjustRightInd w:val="0"/>
              <w:spacing w:line="276" w:lineRule="auto"/>
              <w:rPr>
                <w:rFonts w:cs="Arial"/>
                <w:bCs/>
                <w:i/>
                <w:sz w:val="24"/>
                <w:szCs w:val="24"/>
              </w:rPr>
            </w:pPr>
            <w:r>
              <w:rPr>
                <w:rFonts w:cs="Arial"/>
                <w:i/>
                <w:sz w:val="24"/>
                <w:szCs w:val="24"/>
              </w:rPr>
              <w:t>literacy intervention strategies;</w:t>
            </w:r>
          </w:p>
          <w:p w14:paraId="4FF567AE" w14:textId="77777777" w:rsidR="00D83D8A" w:rsidRDefault="00355842">
            <w:pPr>
              <w:pStyle w:val="ListParagraph"/>
              <w:numPr>
                <w:ilvl w:val="0"/>
                <w:numId w:val="32"/>
              </w:numPr>
              <w:autoSpaceDE w:val="0"/>
              <w:autoSpaceDN w:val="0"/>
              <w:adjustRightInd w:val="0"/>
              <w:spacing w:line="276" w:lineRule="auto"/>
              <w:rPr>
                <w:rFonts w:cs="Arial"/>
                <w:bCs/>
                <w:i/>
                <w:sz w:val="24"/>
                <w:szCs w:val="24"/>
              </w:rPr>
            </w:pPr>
            <w:r>
              <w:rPr>
                <w:rFonts w:cs="Arial"/>
                <w:i/>
                <w:sz w:val="24"/>
                <w:szCs w:val="24"/>
              </w:rPr>
              <w:lastRenderedPageBreak/>
              <w:t>mock examinations.</w:t>
            </w:r>
          </w:p>
          <w:p w14:paraId="1497604C" w14:textId="77777777" w:rsidR="00D83D8A" w:rsidRDefault="00355842">
            <w:pPr>
              <w:autoSpaceDE w:val="0"/>
              <w:autoSpaceDN w:val="0"/>
              <w:adjustRightInd w:val="0"/>
              <w:spacing w:before="120" w:after="120" w:line="276" w:lineRule="auto"/>
              <w:rPr>
                <w:rFonts w:cs="Arial"/>
                <w:bCs/>
                <w:i/>
                <w:sz w:val="24"/>
                <w:szCs w:val="24"/>
              </w:rPr>
            </w:pPr>
            <w:r>
              <w:rPr>
                <w:rFonts w:cs="Arial"/>
                <w:bCs/>
                <w:i/>
                <w:sz w:val="24"/>
                <w:szCs w:val="24"/>
              </w:rPr>
              <w:t>This is commonly referred to as ‘normal way of working’. For candidates with learning difficulties this is typically the background information recorded with Section A of Form 8.</w:t>
            </w:r>
          </w:p>
          <w:p w14:paraId="0E55EE2C" w14:textId="77777777" w:rsidR="00D83D8A" w:rsidRDefault="00355842">
            <w:pPr>
              <w:autoSpaceDE w:val="0"/>
              <w:autoSpaceDN w:val="0"/>
              <w:adjustRightInd w:val="0"/>
              <w:rPr>
                <w:rFonts w:cs="Arial"/>
                <w:i/>
                <w:color w:val="000000"/>
                <w:sz w:val="24"/>
                <w:szCs w:val="24"/>
              </w:rPr>
            </w:pPr>
            <w:r>
              <w:rPr>
                <w:rFonts w:cs="Arial"/>
                <w:bCs/>
                <w:i/>
                <w:color w:val="000000"/>
                <w:sz w:val="24"/>
                <w:szCs w:val="24"/>
              </w:rPr>
              <w:t xml:space="preserve">SENCos and assessors must </w:t>
            </w:r>
            <w:r>
              <w:rPr>
                <w:rFonts w:cs="Arial"/>
                <w:i/>
                <w:color w:val="000000"/>
                <w:sz w:val="24"/>
                <w:szCs w:val="24"/>
              </w:rPr>
              <w:t xml:space="preserve">refer to </w:t>
            </w:r>
            <w:r>
              <w:rPr>
                <w:rFonts w:cs="Arial"/>
                <w:bCs/>
                <w:i/>
                <w:color w:val="000000"/>
                <w:sz w:val="24"/>
                <w:szCs w:val="24"/>
              </w:rPr>
              <w:t>section 7.6.1, page 87</w:t>
            </w:r>
            <w:r>
              <w:rPr>
                <w:rFonts w:cs="Arial"/>
                <w:i/>
                <w:color w:val="000000"/>
                <w:sz w:val="24"/>
                <w:szCs w:val="24"/>
              </w:rPr>
              <w:t xml:space="preserve">, for information on how to confirm ‘normal way of working’. </w:t>
            </w:r>
          </w:p>
          <w:p w14:paraId="119EC80F" w14:textId="77777777" w:rsidR="00D83D8A" w:rsidRDefault="00355842">
            <w:pPr>
              <w:rPr>
                <w:rFonts w:cs="Arial"/>
                <w:i/>
                <w:sz w:val="24"/>
                <w:szCs w:val="24"/>
              </w:rPr>
            </w:pPr>
            <w:r>
              <w:rPr>
                <w:rFonts w:cs="Arial"/>
                <w:b/>
                <w:bCs/>
                <w:i/>
                <w:sz w:val="24"/>
                <w:szCs w:val="24"/>
              </w:rPr>
              <w:t>†</w:t>
            </w:r>
            <w:r>
              <w:rPr>
                <w:rFonts w:cs="Arial"/>
                <w:i/>
                <w:sz w:val="24"/>
                <w:szCs w:val="24"/>
              </w:rPr>
              <w:t>The only exception to this is where an arrangement is put in place as a consequence of a temporary injury or impairment (</w:t>
            </w:r>
            <w:r>
              <w:rPr>
                <w:rFonts w:cs="Arial"/>
                <w:bCs/>
                <w:i/>
                <w:sz w:val="24"/>
                <w:szCs w:val="24"/>
              </w:rPr>
              <w:t>see section 8.3, page 89</w:t>
            </w:r>
            <w:r>
              <w:rPr>
                <w:rFonts w:cs="Arial"/>
                <w:i/>
                <w:sz w:val="24"/>
                <w:szCs w:val="24"/>
              </w:rPr>
              <w:t xml:space="preserve">).”      </w:t>
            </w:r>
          </w:p>
          <w:p w14:paraId="136D9229" w14:textId="77777777" w:rsidR="00D83D8A" w:rsidRDefault="00D83D8A">
            <w:pPr>
              <w:rPr>
                <w:rFonts w:cs="Arial"/>
                <w:i/>
                <w:sz w:val="24"/>
                <w:szCs w:val="24"/>
              </w:rPr>
            </w:pPr>
          </w:p>
          <w:p w14:paraId="6D8CF6E6" w14:textId="77777777" w:rsidR="00D83D8A" w:rsidRDefault="00355842">
            <w:pPr>
              <w:rPr>
                <w:rFonts w:cs="Arial"/>
                <w:sz w:val="24"/>
                <w:szCs w:val="24"/>
              </w:rPr>
            </w:pPr>
            <w:r>
              <w:rPr>
                <w:rFonts w:cs="Arial"/>
                <w:sz w:val="24"/>
                <w:szCs w:val="24"/>
              </w:rPr>
              <w:t xml:space="preserve">The SENCo has responsibility for gathering information on candidate’s normal way of working from teaching staff.  This evidence will be held on file for inspection </w:t>
            </w:r>
            <w:r>
              <w:rPr>
                <w:bCs/>
                <w:sz w:val="24"/>
                <w:szCs w:val="24"/>
              </w:rPr>
              <w:t xml:space="preserve">purposes and be presented to the JCQ Centre Inspector by the SENCo on request.  </w:t>
            </w:r>
          </w:p>
          <w:p w14:paraId="53E8C4BF" w14:textId="77777777" w:rsidR="00D83D8A" w:rsidRDefault="00D83D8A">
            <w:pPr>
              <w:rPr>
                <w:rFonts w:cs="Arial"/>
              </w:rPr>
            </w:pPr>
          </w:p>
          <w:p w14:paraId="23D0C282" w14:textId="77777777" w:rsidR="00D83D8A" w:rsidRDefault="00D83D8A">
            <w:pPr>
              <w:rPr>
                <w:rFonts w:cs="Arial"/>
              </w:rPr>
            </w:pPr>
          </w:p>
        </w:tc>
      </w:tr>
    </w:tbl>
    <w:p w14:paraId="3AF3DA5D" w14:textId="77777777" w:rsidR="00D83D8A" w:rsidRDefault="00D83D8A">
      <w:pPr>
        <w:spacing w:after="0"/>
      </w:pPr>
    </w:p>
    <w:tbl>
      <w:tblPr>
        <w:tblStyle w:val="TableGrid"/>
        <w:tblW w:w="9338" w:type="dxa"/>
        <w:tblLook w:val="04A0" w:firstRow="1" w:lastRow="0" w:firstColumn="1" w:lastColumn="0" w:noHBand="0" w:noVBand="1"/>
      </w:tblPr>
      <w:tblGrid>
        <w:gridCol w:w="9338"/>
      </w:tblGrid>
      <w:tr w:rsidR="00D83D8A" w14:paraId="6212FDD8" w14:textId="77777777">
        <w:trPr>
          <w:trHeight w:val="662"/>
        </w:trPr>
        <w:tc>
          <w:tcPr>
            <w:tcW w:w="9338" w:type="dxa"/>
            <w:shd w:val="clear" w:color="auto" w:fill="7030A0"/>
            <w:vAlign w:val="center"/>
          </w:tcPr>
          <w:p w14:paraId="380CE752" w14:textId="77777777" w:rsidR="00D83D8A" w:rsidRDefault="00355842">
            <w:pPr>
              <w:rPr>
                <w:color w:val="FFFFFF" w:themeColor="background1"/>
                <w:sz w:val="44"/>
                <w:szCs w:val="44"/>
              </w:rPr>
            </w:pPr>
            <w:r>
              <w:rPr>
                <w:color w:val="FFFFFF" w:themeColor="background1"/>
                <w:sz w:val="44"/>
                <w:szCs w:val="44"/>
              </w:rPr>
              <w:t>Processing Access Arrangement Applications:</w:t>
            </w:r>
          </w:p>
        </w:tc>
      </w:tr>
      <w:tr w:rsidR="00D83D8A" w14:paraId="27013CA6" w14:textId="77777777">
        <w:trPr>
          <w:trHeight w:val="1122"/>
        </w:trPr>
        <w:tc>
          <w:tcPr>
            <w:tcW w:w="9338" w:type="dxa"/>
          </w:tcPr>
          <w:p w14:paraId="0DA12522" w14:textId="77777777" w:rsidR="00D83D8A" w:rsidRDefault="00D83D8A">
            <w:pPr>
              <w:autoSpaceDE w:val="0"/>
              <w:autoSpaceDN w:val="0"/>
              <w:adjustRightInd w:val="0"/>
              <w:rPr>
                <w:rFonts w:ascii="Calibri" w:hAnsi="Calibri" w:cs="Calibri"/>
                <w:color w:val="000000"/>
                <w:sz w:val="24"/>
                <w:szCs w:val="24"/>
              </w:rPr>
            </w:pPr>
          </w:p>
          <w:p w14:paraId="7A1A3EC6" w14:textId="77777777" w:rsidR="00D83D8A" w:rsidRDefault="00355842">
            <w:pPr>
              <w:autoSpaceDE w:val="0"/>
              <w:autoSpaceDN w:val="0"/>
              <w:adjustRightInd w:val="0"/>
              <w:spacing w:line="276" w:lineRule="auto"/>
              <w:rPr>
                <w:rFonts w:cs="Arial"/>
                <w:sz w:val="24"/>
                <w:szCs w:val="24"/>
              </w:rPr>
            </w:pPr>
            <w:r>
              <w:rPr>
                <w:sz w:val="24"/>
                <w:szCs w:val="24"/>
              </w:rPr>
              <w:t xml:space="preserve">Access arrangements online is </w:t>
            </w:r>
            <w:r>
              <w:rPr>
                <w:rFonts w:cs="Arial"/>
                <w:sz w:val="24"/>
                <w:szCs w:val="24"/>
              </w:rPr>
              <w:t>a tool provided by JCQ member awarding bodies for GCSE and GCE qualifications. This tool also provides the facility to order modified papers for GCSE and GCE qualifications.</w:t>
            </w:r>
          </w:p>
          <w:p w14:paraId="5BE71F53" w14:textId="77777777" w:rsidR="00D83D8A" w:rsidRDefault="00D83D8A">
            <w:pPr>
              <w:autoSpaceDE w:val="0"/>
              <w:autoSpaceDN w:val="0"/>
              <w:adjustRightInd w:val="0"/>
              <w:spacing w:line="276" w:lineRule="auto"/>
              <w:rPr>
                <w:rFonts w:cs="Arial"/>
                <w:sz w:val="24"/>
                <w:szCs w:val="24"/>
              </w:rPr>
            </w:pPr>
          </w:p>
          <w:p w14:paraId="4CA9947C" w14:textId="77777777" w:rsidR="00D83D8A" w:rsidRDefault="00355842">
            <w:pPr>
              <w:spacing w:line="276" w:lineRule="auto"/>
              <w:rPr>
                <w:rFonts w:cs="Arial"/>
                <w:bCs/>
                <w:color w:val="000000"/>
                <w:sz w:val="24"/>
                <w:szCs w:val="24"/>
              </w:rPr>
            </w:pPr>
            <w:r>
              <w:rPr>
                <w:rFonts w:cs="Arial"/>
                <w:bCs/>
                <w:color w:val="000000"/>
                <w:sz w:val="24"/>
                <w:szCs w:val="24"/>
              </w:rPr>
              <w:t xml:space="preserve">Access arrangements will be processed online to meet Examining Board deadlines.  </w:t>
            </w:r>
          </w:p>
          <w:p w14:paraId="20B23104" w14:textId="77777777" w:rsidR="00D83D8A" w:rsidRDefault="00D83D8A">
            <w:pPr>
              <w:spacing w:line="276" w:lineRule="auto"/>
              <w:rPr>
                <w:rFonts w:cs="Arial"/>
                <w:bCs/>
                <w:color w:val="000000"/>
                <w:sz w:val="24"/>
                <w:szCs w:val="24"/>
              </w:rPr>
            </w:pPr>
          </w:p>
          <w:p w14:paraId="6F0F235E" w14:textId="77777777" w:rsidR="00D83D8A" w:rsidRDefault="00355842">
            <w:pPr>
              <w:spacing w:line="276" w:lineRule="auto"/>
              <w:rPr>
                <w:rFonts w:cs="Arial"/>
                <w:bCs/>
                <w:color w:val="000000"/>
                <w:sz w:val="24"/>
                <w:szCs w:val="24"/>
              </w:rPr>
            </w:pPr>
            <w:r>
              <w:rPr>
                <w:rFonts w:cs="Arial"/>
                <w:bCs/>
                <w:color w:val="000000"/>
                <w:sz w:val="24"/>
                <w:szCs w:val="24"/>
              </w:rPr>
              <w:t xml:space="preserve">Exam Board confirmation will be kept on the student’s access file which will be located in the SENCo’s office.  </w:t>
            </w:r>
          </w:p>
          <w:p w14:paraId="32CCC0D7" w14:textId="77777777" w:rsidR="00D83D8A" w:rsidRDefault="00D83D8A">
            <w:pPr>
              <w:spacing w:line="276" w:lineRule="auto"/>
              <w:rPr>
                <w:rFonts w:cs="Arial"/>
                <w:bCs/>
                <w:color w:val="000000"/>
                <w:sz w:val="24"/>
                <w:szCs w:val="24"/>
              </w:rPr>
            </w:pPr>
          </w:p>
          <w:p w14:paraId="740EBCF6" w14:textId="77777777" w:rsidR="00D83D8A" w:rsidRDefault="00355842">
            <w:pPr>
              <w:spacing w:line="276" w:lineRule="auto"/>
              <w:rPr>
                <w:rFonts w:cs="Arial"/>
                <w:bCs/>
                <w:color w:val="000000"/>
                <w:sz w:val="24"/>
                <w:szCs w:val="24"/>
              </w:rPr>
            </w:pPr>
            <w:r>
              <w:rPr>
                <w:rFonts w:cs="Arial"/>
                <w:bCs/>
                <w:color w:val="000000"/>
                <w:sz w:val="24"/>
                <w:szCs w:val="24"/>
              </w:rPr>
              <w:t xml:space="preserve">The SENCo will be responsible for processing access arrangements online and the storage of student access arrangement files.  </w:t>
            </w:r>
          </w:p>
          <w:p w14:paraId="747426CB" w14:textId="77777777" w:rsidR="00D83D8A" w:rsidRDefault="00D83D8A">
            <w:pPr>
              <w:spacing w:line="276" w:lineRule="auto"/>
              <w:rPr>
                <w:rFonts w:ascii="Calibri" w:hAnsi="Calibri" w:cs="Calibri"/>
                <w:color w:val="000000"/>
                <w:sz w:val="24"/>
                <w:szCs w:val="24"/>
              </w:rPr>
            </w:pPr>
          </w:p>
        </w:tc>
      </w:tr>
    </w:tbl>
    <w:p w14:paraId="75806C5E" w14:textId="77777777" w:rsidR="00D83D8A" w:rsidRDefault="00D83D8A"/>
    <w:tbl>
      <w:tblPr>
        <w:tblStyle w:val="TableGrid"/>
        <w:tblW w:w="9338" w:type="dxa"/>
        <w:tblLook w:val="04A0" w:firstRow="1" w:lastRow="0" w:firstColumn="1" w:lastColumn="0" w:noHBand="0" w:noVBand="1"/>
      </w:tblPr>
      <w:tblGrid>
        <w:gridCol w:w="9338"/>
      </w:tblGrid>
      <w:tr w:rsidR="00D83D8A" w14:paraId="1AC3E6B0" w14:textId="77777777">
        <w:trPr>
          <w:trHeight w:val="662"/>
        </w:trPr>
        <w:tc>
          <w:tcPr>
            <w:tcW w:w="9338" w:type="dxa"/>
            <w:shd w:val="clear" w:color="auto" w:fill="7030A0"/>
            <w:vAlign w:val="center"/>
          </w:tcPr>
          <w:p w14:paraId="5ACA379A" w14:textId="77777777" w:rsidR="00D83D8A" w:rsidRDefault="00355842">
            <w:pPr>
              <w:rPr>
                <w:color w:val="FFFFFF" w:themeColor="background1"/>
                <w:sz w:val="44"/>
                <w:szCs w:val="44"/>
              </w:rPr>
            </w:pPr>
            <w:r>
              <w:rPr>
                <w:color w:val="FFFFFF" w:themeColor="background1"/>
                <w:sz w:val="44"/>
                <w:szCs w:val="44"/>
              </w:rPr>
              <w:t>Centre Delegated Access Arrangements:</w:t>
            </w:r>
          </w:p>
        </w:tc>
      </w:tr>
      <w:tr w:rsidR="00D83D8A" w14:paraId="60A1630C" w14:textId="77777777">
        <w:trPr>
          <w:trHeight w:val="1122"/>
        </w:trPr>
        <w:tc>
          <w:tcPr>
            <w:tcW w:w="9338" w:type="dxa"/>
          </w:tcPr>
          <w:p w14:paraId="6875BC4F" w14:textId="77777777" w:rsidR="00D83D8A" w:rsidRDefault="00D83D8A">
            <w:pPr>
              <w:autoSpaceDE w:val="0"/>
              <w:autoSpaceDN w:val="0"/>
              <w:adjustRightInd w:val="0"/>
              <w:rPr>
                <w:rFonts w:ascii="Calibri" w:hAnsi="Calibri" w:cs="Calibri"/>
                <w:color w:val="000000"/>
                <w:sz w:val="24"/>
                <w:szCs w:val="24"/>
              </w:rPr>
            </w:pPr>
          </w:p>
          <w:p w14:paraId="07C622C1" w14:textId="77777777" w:rsidR="00D83D8A" w:rsidRDefault="00355842">
            <w:pPr>
              <w:autoSpaceDE w:val="0"/>
              <w:autoSpaceDN w:val="0"/>
              <w:adjustRightInd w:val="0"/>
              <w:rPr>
                <w:sz w:val="24"/>
                <w:szCs w:val="24"/>
              </w:rPr>
            </w:pPr>
            <w:r>
              <w:rPr>
                <w:sz w:val="24"/>
                <w:szCs w:val="24"/>
              </w:rPr>
              <w:t>Centre delegated access arrangements are those arrangements which may be granted by the centre.</w:t>
            </w:r>
          </w:p>
          <w:p w14:paraId="573009D9" w14:textId="77777777" w:rsidR="00D83D8A" w:rsidRDefault="00D83D8A">
            <w:pPr>
              <w:autoSpaceDE w:val="0"/>
              <w:autoSpaceDN w:val="0"/>
              <w:adjustRightInd w:val="0"/>
              <w:rPr>
                <w:sz w:val="24"/>
                <w:szCs w:val="24"/>
              </w:rPr>
            </w:pPr>
          </w:p>
          <w:p w14:paraId="68F6AB76" w14:textId="77777777" w:rsidR="00D83D8A" w:rsidRDefault="00355842">
            <w:pPr>
              <w:autoSpaceDE w:val="0"/>
              <w:autoSpaceDN w:val="0"/>
              <w:adjustRightInd w:val="0"/>
              <w:rPr>
                <w:sz w:val="24"/>
                <w:szCs w:val="24"/>
              </w:rPr>
            </w:pPr>
            <w:r>
              <w:rPr>
                <w:sz w:val="24"/>
                <w:szCs w:val="24"/>
              </w:rPr>
              <w:t xml:space="preserve">The SENCo will be responsible for collecting necessary evidence for centre delegated access arrangements and keeping up-to-date information on student files. </w:t>
            </w:r>
          </w:p>
          <w:p w14:paraId="5A1CC1B4" w14:textId="77777777" w:rsidR="00D83D8A" w:rsidRDefault="00D83D8A">
            <w:pPr>
              <w:autoSpaceDE w:val="0"/>
              <w:autoSpaceDN w:val="0"/>
              <w:adjustRightInd w:val="0"/>
              <w:rPr>
                <w:sz w:val="24"/>
                <w:szCs w:val="24"/>
              </w:rPr>
            </w:pPr>
          </w:p>
          <w:p w14:paraId="1C400F8D" w14:textId="77777777" w:rsidR="00D83D8A" w:rsidRDefault="00355842">
            <w:pPr>
              <w:autoSpaceDE w:val="0"/>
              <w:autoSpaceDN w:val="0"/>
              <w:adjustRightInd w:val="0"/>
              <w:rPr>
                <w:rFonts w:ascii="Calibri" w:hAnsi="Calibri" w:cs="Calibri"/>
                <w:color w:val="000000"/>
                <w:sz w:val="24"/>
                <w:szCs w:val="24"/>
              </w:rPr>
            </w:pPr>
            <w:r>
              <w:rPr>
                <w:sz w:val="24"/>
                <w:szCs w:val="24"/>
              </w:rPr>
              <w:lastRenderedPageBreak/>
              <w:t>The appropriate evidence will be held on file by the SENCo for those arrangements that do not need to be recorded.</w:t>
            </w:r>
          </w:p>
        </w:tc>
      </w:tr>
    </w:tbl>
    <w:p w14:paraId="2A61A07F" w14:textId="77777777" w:rsidR="00D83D8A" w:rsidRDefault="00D83D8A"/>
    <w:tbl>
      <w:tblPr>
        <w:tblStyle w:val="TableGrid"/>
        <w:tblW w:w="9338" w:type="dxa"/>
        <w:tblLook w:val="04A0" w:firstRow="1" w:lastRow="0" w:firstColumn="1" w:lastColumn="0" w:noHBand="0" w:noVBand="1"/>
      </w:tblPr>
      <w:tblGrid>
        <w:gridCol w:w="9338"/>
      </w:tblGrid>
      <w:tr w:rsidR="00D83D8A" w14:paraId="69AED41B" w14:textId="77777777">
        <w:trPr>
          <w:trHeight w:val="662"/>
        </w:trPr>
        <w:tc>
          <w:tcPr>
            <w:tcW w:w="9338" w:type="dxa"/>
            <w:shd w:val="clear" w:color="auto" w:fill="7030A0"/>
            <w:vAlign w:val="center"/>
          </w:tcPr>
          <w:p w14:paraId="7E56F981" w14:textId="77777777" w:rsidR="00D83D8A" w:rsidRDefault="00355842">
            <w:pPr>
              <w:rPr>
                <w:color w:val="FFFFFF" w:themeColor="background1"/>
                <w:sz w:val="44"/>
                <w:szCs w:val="44"/>
              </w:rPr>
            </w:pPr>
            <w:r>
              <w:rPr>
                <w:color w:val="FFFFFF" w:themeColor="background1"/>
                <w:sz w:val="44"/>
                <w:szCs w:val="44"/>
              </w:rPr>
              <w:t>Invigilation:</w:t>
            </w:r>
          </w:p>
        </w:tc>
      </w:tr>
      <w:tr w:rsidR="00D83D8A" w14:paraId="514524C9" w14:textId="77777777">
        <w:trPr>
          <w:trHeight w:val="1122"/>
        </w:trPr>
        <w:tc>
          <w:tcPr>
            <w:tcW w:w="9338" w:type="dxa"/>
          </w:tcPr>
          <w:p w14:paraId="730BEE97" w14:textId="77777777" w:rsidR="00D83D8A" w:rsidRDefault="00D83D8A">
            <w:pPr>
              <w:autoSpaceDE w:val="0"/>
              <w:autoSpaceDN w:val="0"/>
              <w:adjustRightInd w:val="0"/>
              <w:rPr>
                <w:rFonts w:ascii="Calibri" w:hAnsi="Calibri" w:cs="Calibri"/>
                <w:color w:val="000000"/>
                <w:sz w:val="24"/>
                <w:szCs w:val="24"/>
              </w:rPr>
            </w:pPr>
          </w:p>
          <w:p w14:paraId="2BCD0E71" w14:textId="77777777" w:rsidR="00D83D8A" w:rsidRDefault="00355842">
            <w:pPr>
              <w:spacing w:line="276" w:lineRule="auto"/>
              <w:rPr>
                <w:rFonts w:ascii="Tahoma" w:hAnsi="Tahoma" w:cs="Tahoma"/>
                <w:color w:val="000000"/>
                <w:sz w:val="24"/>
                <w:szCs w:val="24"/>
              </w:rPr>
            </w:pPr>
            <w:r>
              <w:rPr>
                <w:sz w:val="24"/>
                <w:szCs w:val="24"/>
              </w:rPr>
              <w:t xml:space="preserve">A decision where an exam candidate may be approved separate invigilation within the centre will be based on whether the candidate </w:t>
            </w:r>
          </w:p>
          <w:p w14:paraId="74AFDAFE" w14:textId="77777777" w:rsidR="00D83D8A" w:rsidRDefault="00355842">
            <w:pPr>
              <w:pStyle w:val="ListParagraph"/>
              <w:numPr>
                <w:ilvl w:val="0"/>
                <w:numId w:val="33"/>
              </w:numPr>
              <w:autoSpaceDE w:val="0"/>
              <w:autoSpaceDN w:val="0"/>
              <w:adjustRightInd w:val="0"/>
              <w:rPr>
                <w:rFonts w:ascii="Arial" w:hAnsi="Arial" w:cs="Arial"/>
                <w:color w:val="000000"/>
                <w:sz w:val="24"/>
                <w:szCs w:val="24"/>
              </w:rPr>
            </w:pPr>
            <w:r>
              <w:rPr>
                <w:rFonts w:cs="Arial"/>
                <w:color w:val="000000"/>
                <w:sz w:val="24"/>
                <w:szCs w:val="24"/>
              </w:rPr>
              <w:t xml:space="preserve">has </w:t>
            </w:r>
            <w:r>
              <w:rPr>
                <w:rFonts w:cs="Arial"/>
                <w:bCs/>
                <w:color w:val="000000"/>
                <w:sz w:val="24"/>
                <w:szCs w:val="24"/>
              </w:rPr>
              <w:t xml:space="preserve">a substantial and long term impairment </w:t>
            </w:r>
            <w:r>
              <w:rPr>
                <w:rFonts w:cs="Arial"/>
                <w:color w:val="000000"/>
                <w:sz w:val="24"/>
                <w:szCs w:val="24"/>
              </w:rPr>
              <w:t xml:space="preserve">which has </w:t>
            </w:r>
            <w:r>
              <w:rPr>
                <w:rFonts w:cs="Arial"/>
                <w:bCs/>
                <w:color w:val="000000"/>
                <w:sz w:val="24"/>
                <w:szCs w:val="24"/>
              </w:rPr>
              <w:t>an adverse effect</w:t>
            </w:r>
            <w:r>
              <w:rPr>
                <w:rFonts w:cs="Arial"/>
                <w:color w:val="000000"/>
                <w:sz w:val="24"/>
                <w:szCs w:val="24"/>
              </w:rPr>
              <w:t xml:space="preserve">; </w:t>
            </w:r>
            <w:r>
              <w:rPr>
                <w:rFonts w:cs="Arial"/>
                <w:bCs/>
                <w:color w:val="000000"/>
                <w:sz w:val="24"/>
                <w:szCs w:val="24"/>
              </w:rPr>
              <w:t xml:space="preserve">and </w:t>
            </w:r>
          </w:p>
          <w:p w14:paraId="1971293A" w14:textId="77777777" w:rsidR="00D83D8A" w:rsidRDefault="00355842">
            <w:pPr>
              <w:pStyle w:val="ListParagraph"/>
              <w:numPr>
                <w:ilvl w:val="0"/>
                <w:numId w:val="33"/>
              </w:numPr>
              <w:autoSpaceDE w:val="0"/>
              <w:autoSpaceDN w:val="0"/>
              <w:adjustRightInd w:val="0"/>
              <w:rPr>
                <w:rFonts w:cs="Arial"/>
                <w:color w:val="000000"/>
                <w:sz w:val="24"/>
                <w:szCs w:val="24"/>
              </w:rPr>
            </w:pPr>
            <w:r>
              <w:rPr>
                <w:rFonts w:cs="Arial"/>
                <w:bCs/>
                <w:color w:val="000000"/>
                <w:sz w:val="24"/>
                <w:szCs w:val="24"/>
              </w:rPr>
              <w:t>is the candidate’s normal way of working within the centre</w:t>
            </w:r>
            <w:r>
              <w:rPr>
                <w:rFonts w:cs="Arial"/>
                <w:color w:val="000000"/>
                <w:sz w:val="24"/>
                <w:szCs w:val="24"/>
              </w:rPr>
              <w:t xml:space="preserve">.            </w:t>
            </w:r>
          </w:p>
          <w:p w14:paraId="25475FBA" w14:textId="77777777" w:rsidR="00D83D8A" w:rsidRDefault="00D83D8A">
            <w:pPr>
              <w:autoSpaceDE w:val="0"/>
              <w:autoSpaceDN w:val="0"/>
              <w:adjustRightInd w:val="0"/>
              <w:rPr>
                <w:rFonts w:cs="Arial"/>
                <w:color w:val="000000"/>
                <w:sz w:val="24"/>
                <w:szCs w:val="24"/>
              </w:rPr>
            </w:pPr>
          </w:p>
          <w:p w14:paraId="3E302B40" w14:textId="77777777" w:rsidR="00D83D8A" w:rsidRDefault="00355842">
            <w:pPr>
              <w:autoSpaceDE w:val="0"/>
              <w:autoSpaceDN w:val="0"/>
              <w:adjustRightInd w:val="0"/>
              <w:rPr>
                <w:rFonts w:cs="Arial"/>
                <w:color w:val="000000"/>
                <w:sz w:val="24"/>
                <w:szCs w:val="24"/>
              </w:rPr>
            </w:pPr>
            <w:r>
              <w:rPr>
                <w:rFonts w:cs="Arial"/>
                <w:color w:val="000000"/>
                <w:sz w:val="24"/>
                <w:szCs w:val="24"/>
              </w:rPr>
              <w:t xml:space="preserve">Separate invigilation will only be provided in extreme circumstances and with the agreement of the SENCo and Vice-Principal.   </w:t>
            </w:r>
          </w:p>
          <w:p w14:paraId="58F8176E" w14:textId="77777777" w:rsidR="00D83D8A" w:rsidRDefault="00D83D8A">
            <w:pPr>
              <w:autoSpaceDE w:val="0"/>
              <w:autoSpaceDN w:val="0"/>
              <w:adjustRightInd w:val="0"/>
              <w:rPr>
                <w:rFonts w:cs="Arial"/>
                <w:color w:val="000000"/>
                <w:sz w:val="24"/>
                <w:szCs w:val="24"/>
              </w:rPr>
            </w:pPr>
          </w:p>
          <w:p w14:paraId="40A7C75B" w14:textId="77777777" w:rsidR="00D83D8A" w:rsidRDefault="00355842">
            <w:pPr>
              <w:autoSpaceDE w:val="0"/>
              <w:autoSpaceDN w:val="0"/>
              <w:adjustRightInd w:val="0"/>
              <w:rPr>
                <w:rFonts w:cs="Arial"/>
                <w:color w:val="000000"/>
                <w:sz w:val="24"/>
                <w:szCs w:val="24"/>
              </w:rPr>
            </w:pPr>
            <w:r>
              <w:rPr>
                <w:rFonts w:cs="Arial"/>
                <w:color w:val="000000"/>
                <w:sz w:val="24"/>
                <w:szCs w:val="24"/>
              </w:rPr>
              <w:t xml:space="preserve">Invigilators will be informed of arrangements for candidates requiring access arrangements prior to exams.  Invigilators will be appropriately trained/informed of the JCQ regulations regarding access arrangements.                                                </w:t>
            </w:r>
          </w:p>
          <w:p w14:paraId="7F97B337" w14:textId="77777777" w:rsidR="00D83D8A" w:rsidRDefault="00D83D8A">
            <w:pPr>
              <w:autoSpaceDE w:val="0"/>
              <w:autoSpaceDN w:val="0"/>
              <w:adjustRightInd w:val="0"/>
              <w:rPr>
                <w:rFonts w:cs="Arial"/>
                <w:i/>
                <w:color w:val="000000"/>
                <w:sz w:val="20"/>
                <w:szCs w:val="20"/>
              </w:rPr>
            </w:pPr>
          </w:p>
          <w:p w14:paraId="79C337EB" w14:textId="77777777" w:rsidR="00D83D8A" w:rsidRDefault="00D83D8A">
            <w:pPr>
              <w:autoSpaceDE w:val="0"/>
              <w:autoSpaceDN w:val="0"/>
              <w:adjustRightInd w:val="0"/>
              <w:rPr>
                <w:rFonts w:ascii="Calibri" w:hAnsi="Calibri" w:cs="Calibri"/>
                <w:color w:val="000000"/>
                <w:sz w:val="24"/>
                <w:szCs w:val="24"/>
              </w:rPr>
            </w:pPr>
          </w:p>
        </w:tc>
      </w:tr>
    </w:tbl>
    <w:p w14:paraId="64A11AF1" w14:textId="77777777" w:rsidR="00D83D8A" w:rsidRDefault="00D83D8A"/>
    <w:tbl>
      <w:tblPr>
        <w:tblStyle w:val="TableGrid"/>
        <w:tblW w:w="9338" w:type="dxa"/>
        <w:tblLook w:val="04A0" w:firstRow="1" w:lastRow="0" w:firstColumn="1" w:lastColumn="0" w:noHBand="0" w:noVBand="1"/>
      </w:tblPr>
      <w:tblGrid>
        <w:gridCol w:w="9338"/>
      </w:tblGrid>
      <w:tr w:rsidR="00D83D8A" w14:paraId="1E9FD50E" w14:textId="77777777">
        <w:trPr>
          <w:trHeight w:val="662"/>
        </w:trPr>
        <w:tc>
          <w:tcPr>
            <w:tcW w:w="9338" w:type="dxa"/>
            <w:shd w:val="clear" w:color="auto" w:fill="7030A0"/>
            <w:vAlign w:val="center"/>
          </w:tcPr>
          <w:p w14:paraId="13938D49" w14:textId="77777777" w:rsidR="00D83D8A" w:rsidRDefault="00355842">
            <w:pPr>
              <w:rPr>
                <w:color w:val="FFFFFF" w:themeColor="background1"/>
                <w:sz w:val="44"/>
                <w:szCs w:val="44"/>
              </w:rPr>
            </w:pPr>
            <w:r>
              <w:rPr>
                <w:color w:val="FFFFFF" w:themeColor="background1"/>
                <w:sz w:val="44"/>
                <w:szCs w:val="44"/>
              </w:rPr>
              <w:t>Other Policies/Documents:</w:t>
            </w:r>
          </w:p>
        </w:tc>
      </w:tr>
      <w:tr w:rsidR="00D83D8A" w14:paraId="25113062" w14:textId="77777777">
        <w:trPr>
          <w:trHeight w:val="1122"/>
        </w:trPr>
        <w:tc>
          <w:tcPr>
            <w:tcW w:w="9338" w:type="dxa"/>
          </w:tcPr>
          <w:p w14:paraId="74BD4204" w14:textId="77777777" w:rsidR="00D83D8A" w:rsidRDefault="00D83D8A">
            <w:pPr>
              <w:autoSpaceDE w:val="0"/>
              <w:autoSpaceDN w:val="0"/>
              <w:adjustRightInd w:val="0"/>
              <w:rPr>
                <w:rFonts w:ascii="Calibri" w:hAnsi="Calibri" w:cs="Calibri"/>
                <w:color w:val="000000"/>
                <w:sz w:val="24"/>
                <w:szCs w:val="24"/>
              </w:rPr>
            </w:pPr>
          </w:p>
          <w:p w14:paraId="1B9A7BAE" w14:textId="77777777" w:rsidR="00D83D8A" w:rsidRDefault="00355842">
            <w:pPr>
              <w:autoSpaceDE w:val="0"/>
              <w:autoSpaceDN w:val="0"/>
              <w:adjustRightInd w:val="0"/>
              <w:rPr>
                <w:rFonts w:ascii="Calibri" w:hAnsi="Calibri" w:cs="Calibri"/>
                <w:color w:val="000000"/>
                <w:sz w:val="24"/>
                <w:szCs w:val="24"/>
              </w:rPr>
            </w:pPr>
            <w:r>
              <w:rPr>
                <w:rFonts w:ascii="Calibri" w:hAnsi="Calibri" w:cs="Calibri"/>
                <w:color w:val="000000"/>
                <w:sz w:val="24"/>
                <w:szCs w:val="24"/>
              </w:rPr>
              <w:t>This Policy should be read in conjunction with the following Policies/documents:</w:t>
            </w:r>
          </w:p>
          <w:p w14:paraId="10878F2A" w14:textId="77777777" w:rsidR="00D83D8A" w:rsidRDefault="00D83D8A">
            <w:pPr>
              <w:autoSpaceDE w:val="0"/>
              <w:autoSpaceDN w:val="0"/>
              <w:adjustRightInd w:val="0"/>
              <w:rPr>
                <w:rFonts w:ascii="Calibri" w:hAnsi="Calibri" w:cs="Calibri"/>
                <w:color w:val="000000"/>
                <w:sz w:val="24"/>
                <w:szCs w:val="24"/>
              </w:rPr>
            </w:pPr>
          </w:p>
          <w:p w14:paraId="3B8C06A4" w14:textId="77777777" w:rsidR="00D83D8A" w:rsidRDefault="00355842">
            <w:pPr>
              <w:pStyle w:val="ListParagraph"/>
              <w:numPr>
                <w:ilvl w:val="0"/>
                <w:numId w:val="35"/>
              </w:numPr>
              <w:rPr>
                <w:sz w:val="24"/>
                <w:szCs w:val="24"/>
              </w:rPr>
            </w:pPr>
            <w:r>
              <w:rPr>
                <w:sz w:val="24"/>
                <w:szCs w:val="24"/>
              </w:rPr>
              <w:t>Policy for Controlled Assessment &amp; Internal Assessment Decisions</w:t>
            </w:r>
          </w:p>
          <w:p w14:paraId="05E786E4" w14:textId="77777777" w:rsidR="00D83D8A" w:rsidRDefault="00355842">
            <w:pPr>
              <w:pStyle w:val="ListParagraph"/>
              <w:numPr>
                <w:ilvl w:val="0"/>
                <w:numId w:val="35"/>
              </w:numPr>
              <w:rPr>
                <w:sz w:val="24"/>
                <w:szCs w:val="24"/>
              </w:rPr>
            </w:pPr>
            <w:r>
              <w:rPr>
                <w:sz w:val="24"/>
                <w:szCs w:val="24"/>
              </w:rPr>
              <w:t>Late Arrival to Exams Policy</w:t>
            </w:r>
          </w:p>
          <w:p w14:paraId="1E2E8CFB" w14:textId="77777777" w:rsidR="00D83D8A" w:rsidRDefault="00355842">
            <w:pPr>
              <w:pStyle w:val="ListParagraph"/>
              <w:numPr>
                <w:ilvl w:val="0"/>
                <w:numId w:val="35"/>
              </w:numPr>
              <w:autoSpaceDE w:val="0"/>
              <w:autoSpaceDN w:val="0"/>
              <w:adjustRightInd w:val="0"/>
              <w:rPr>
                <w:rFonts w:ascii="Calibri" w:hAnsi="Calibri" w:cs="Calibri"/>
                <w:color w:val="000000"/>
                <w:sz w:val="24"/>
                <w:szCs w:val="24"/>
              </w:rPr>
            </w:pPr>
            <w:r>
              <w:rPr>
                <w:rFonts w:ascii="Calibri" w:hAnsi="Calibri" w:cs="Calibri"/>
                <w:color w:val="000000"/>
                <w:sz w:val="24"/>
                <w:szCs w:val="24"/>
              </w:rPr>
              <w:t>Early Examination Entry Policy</w:t>
            </w:r>
          </w:p>
          <w:p w14:paraId="7AE33CD7" w14:textId="77777777" w:rsidR="00D83D8A" w:rsidRDefault="00355842">
            <w:pPr>
              <w:pStyle w:val="ListParagraph"/>
              <w:numPr>
                <w:ilvl w:val="0"/>
                <w:numId w:val="35"/>
              </w:numPr>
              <w:autoSpaceDE w:val="0"/>
              <w:autoSpaceDN w:val="0"/>
              <w:adjustRightInd w:val="0"/>
              <w:rPr>
                <w:rFonts w:ascii="Calibri" w:hAnsi="Calibri" w:cs="Calibri"/>
                <w:color w:val="000000"/>
                <w:sz w:val="24"/>
                <w:szCs w:val="24"/>
              </w:rPr>
            </w:pPr>
            <w:r>
              <w:rPr>
                <w:rFonts w:ascii="Calibri" w:hAnsi="Calibri" w:cs="Calibri"/>
                <w:color w:val="000000"/>
                <w:sz w:val="24"/>
                <w:szCs w:val="24"/>
              </w:rPr>
              <w:t xml:space="preserve">Staff Malpractice (Controlled Assessment) Policy </w:t>
            </w:r>
          </w:p>
          <w:p w14:paraId="7AA20521" w14:textId="77777777" w:rsidR="00D83D8A" w:rsidRDefault="00355842">
            <w:pPr>
              <w:pStyle w:val="ListParagraph"/>
              <w:numPr>
                <w:ilvl w:val="0"/>
                <w:numId w:val="35"/>
              </w:numPr>
              <w:autoSpaceDE w:val="0"/>
              <w:autoSpaceDN w:val="0"/>
              <w:adjustRightInd w:val="0"/>
              <w:rPr>
                <w:rFonts w:ascii="Calibri" w:hAnsi="Calibri" w:cs="Calibri"/>
                <w:color w:val="000000"/>
                <w:sz w:val="24"/>
                <w:szCs w:val="24"/>
              </w:rPr>
            </w:pPr>
            <w:r>
              <w:rPr>
                <w:rFonts w:ascii="Calibri" w:hAnsi="Calibri" w:cs="Calibri"/>
                <w:color w:val="000000"/>
                <w:sz w:val="24"/>
                <w:szCs w:val="24"/>
              </w:rPr>
              <w:t>Risk Management</w:t>
            </w:r>
          </w:p>
          <w:p w14:paraId="34ABBB19" w14:textId="77777777" w:rsidR="00D83D8A" w:rsidRDefault="00355842">
            <w:pPr>
              <w:pStyle w:val="ListParagraph"/>
              <w:numPr>
                <w:ilvl w:val="0"/>
                <w:numId w:val="35"/>
              </w:numPr>
              <w:autoSpaceDE w:val="0"/>
              <w:autoSpaceDN w:val="0"/>
              <w:adjustRightInd w:val="0"/>
              <w:rPr>
                <w:rFonts w:ascii="Calibri" w:hAnsi="Calibri" w:cs="Calibri"/>
                <w:color w:val="000000"/>
                <w:sz w:val="24"/>
                <w:szCs w:val="24"/>
              </w:rPr>
            </w:pPr>
            <w:r>
              <w:rPr>
                <w:rFonts w:ascii="Calibri" w:hAnsi="Calibri" w:cs="Calibri"/>
                <w:color w:val="000000"/>
                <w:sz w:val="24"/>
                <w:szCs w:val="24"/>
              </w:rPr>
              <w:t>Internal Appeals Procedures Policy</w:t>
            </w:r>
          </w:p>
          <w:p w14:paraId="3B358E84" w14:textId="77777777" w:rsidR="00D83D8A" w:rsidRDefault="00355842">
            <w:pPr>
              <w:pStyle w:val="ListParagraph"/>
              <w:numPr>
                <w:ilvl w:val="0"/>
                <w:numId w:val="35"/>
              </w:numPr>
              <w:autoSpaceDE w:val="0"/>
              <w:autoSpaceDN w:val="0"/>
              <w:adjustRightInd w:val="0"/>
              <w:rPr>
                <w:rFonts w:ascii="Calibri" w:hAnsi="Calibri" w:cs="Calibri"/>
                <w:color w:val="000000"/>
                <w:sz w:val="24"/>
                <w:szCs w:val="24"/>
              </w:rPr>
            </w:pPr>
            <w:r>
              <w:rPr>
                <w:rFonts w:ascii="Calibri" w:hAnsi="Calibri" w:cs="Calibri"/>
                <w:color w:val="000000"/>
                <w:sz w:val="24"/>
                <w:szCs w:val="24"/>
              </w:rPr>
              <w:t xml:space="preserve">Exams Archiving Policy </w:t>
            </w:r>
          </w:p>
          <w:p w14:paraId="10A92F07" w14:textId="77777777" w:rsidR="00D83D8A" w:rsidRDefault="00355842">
            <w:pPr>
              <w:pStyle w:val="ListParagraph"/>
              <w:numPr>
                <w:ilvl w:val="0"/>
                <w:numId w:val="35"/>
              </w:numPr>
              <w:autoSpaceDE w:val="0"/>
              <w:autoSpaceDN w:val="0"/>
              <w:adjustRightInd w:val="0"/>
              <w:rPr>
                <w:rFonts w:ascii="Calibri" w:hAnsi="Calibri" w:cs="Calibri"/>
                <w:color w:val="000000"/>
                <w:sz w:val="24"/>
                <w:szCs w:val="24"/>
              </w:rPr>
            </w:pPr>
            <w:r>
              <w:rPr>
                <w:rFonts w:ascii="Calibri" w:hAnsi="Calibri" w:cs="Calibri"/>
                <w:color w:val="000000"/>
                <w:sz w:val="24"/>
                <w:szCs w:val="24"/>
              </w:rPr>
              <w:t xml:space="preserve">Disability Policy </w:t>
            </w:r>
          </w:p>
          <w:p w14:paraId="457DE78D" w14:textId="77777777" w:rsidR="00D83D8A" w:rsidRDefault="00355842">
            <w:pPr>
              <w:pStyle w:val="ListParagraph"/>
              <w:numPr>
                <w:ilvl w:val="0"/>
                <w:numId w:val="35"/>
              </w:numPr>
              <w:autoSpaceDE w:val="0"/>
              <w:autoSpaceDN w:val="0"/>
              <w:adjustRightInd w:val="0"/>
              <w:rPr>
                <w:rFonts w:ascii="Calibri" w:hAnsi="Calibri" w:cs="Calibri"/>
                <w:color w:val="000000"/>
                <w:sz w:val="24"/>
                <w:szCs w:val="24"/>
              </w:rPr>
            </w:pPr>
            <w:r>
              <w:rPr>
                <w:rFonts w:ascii="Calibri" w:hAnsi="Calibri" w:cs="Calibri"/>
                <w:color w:val="000000"/>
                <w:sz w:val="24"/>
                <w:szCs w:val="24"/>
              </w:rPr>
              <w:t xml:space="preserve">Emergency Evacuation Policy </w:t>
            </w:r>
          </w:p>
          <w:p w14:paraId="0A28D50E" w14:textId="77777777" w:rsidR="00D83D8A" w:rsidRDefault="00355842">
            <w:pPr>
              <w:pStyle w:val="ListParagraph"/>
              <w:numPr>
                <w:ilvl w:val="0"/>
                <w:numId w:val="35"/>
              </w:numPr>
              <w:autoSpaceDE w:val="0"/>
              <w:autoSpaceDN w:val="0"/>
              <w:adjustRightInd w:val="0"/>
              <w:rPr>
                <w:rFonts w:ascii="Calibri" w:hAnsi="Calibri" w:cs="Calibri"/>
                <w:color w:val="000000"/>
                <w:sz w:val="24"/>
                <w:szCs w:val="24"/>
              </w:rPr>
            </w:pPr>
            <w:r>
              <w:rPr>
                <w:rFonts w:ascii="Calibri" w:hAnsi="Calibri" w:cs="Calibri"/>
                <w:color w:val="000000"/>
                <w:sz w:val="24"/>
                <w:szCs w:val="24"/>
              </w:rPr>
              <w:t xml:space="preserve">Management of Non-Examination Assessments Policy </w:t>
            </w:r>
          </w:p>
          <w:p w14:paraId="5B8242D7" w14:textId="77777777" w:rsidR="00D83D8A" w:rsidRDefault="00355842">
            <w:pPr>
              <w:pStyle w:val="ListParagraph"/>
              <w:numPr>
                <w:ilvl w:val="0"/>
                <w:numId w:val="35"/>
              </w:numPr>
              <w:autoSpaceDE w:val="0"/>
              <w:autoSpaceDN w:val="0"/>
              <w:adjustRightInd w:val="0"/>
              <w:rPr>
                <w:rFonts w:ascii="Calibri" w:hAnsi="Calibri" w:cs="Calibri"/>
                <w:color w:val="000000"/>
                <w:sz w:val="24"/>
                <w:szCs w:val="24"/>
              </w:rPr>
            </w:pPr>
            <w:r>
              <w:rPr>
                <w:rFonts w:ascii="Calibri" w:hAnsi="Calibri" w:cs="Calibri"/>
                <w:color w:val="000000"/>
                <w:sz w:val="24"/>
                <w:szCs w:val="24"/>
              </w:rPr>
              <w:t xml:space="preserve">Exams Policy </w:t>
            </w:r>
          </w:p>
          <w:p w14:paraId="2F4B1A42" w14:textId="77777777" w:rsidR="00D83D8A" w:rsidRDefault="00355842">
            <w:pPr>
              <w:pStyle w:val="ListParagraph"/>
              <w:numPr>
                <w:ilvl w:val="0"/>
                <w:numId w:val="35"/>
              </w:numPr>
              <w:autoSpaceDE w:val="0"/>
              <w:autoSpaceDN w:val="0"/>
              <w:adjustRightInd w:val="0"/>
              <w:rPr>
                <w:rFonts w:ascii="Calibri" w:hAnsi="Calibri" w:cs="Calibri"/>
                <w:color w:val="000000"/>
                <w:sz w:val="24"/>
                <w:szCs w:val="24"/>
              </w:rPr>
            </w:pPr>
            <w:r>
              <w:rPr>
                <w:rFonts w:ascii="Calibri" w:hAnsi="Calibri" w:cs="Calibri"/>
                <w:color w:val="000000"/>
                <w:sz w:val="24"/>
                <w:szCs w:val="24"/>
              </w:rPr>
              <w:t xml:space="preserve">Word Processing Policy </w:t>
            </w:r>
          </w:p>
          <w:p w14:paraId="6F3B1BE2" w14:textId="77777777" w:rsidR="00D83D8A" w:rsidRDefault="00355842">
            <w:pPr>
              <w:pStyle w:val="ListParagraph"/>
              <w:numPr>
                <w:ilvl w:val="0"/>
                <w:numId w:val="35"/>
              </w:numPr>
              <w:autoSpaceDE w:val="0"/>
              <w:autoSpaceDN w:val="0"/>
              <w:adjustRightInd w:val="0"/>
              <w:rPr>
                <w:rFonts w:ascii="Calibri" w:hAnsi="Calibri" w:cs="Calibri"/>
                <w:color w:val="000000"/>
                <w:sz w:val="24"/>
                <w:szCs w:val="24"/>
              </w:rPr>
            </w:pPr>
            <w:r>
              <w:rPr>
                <w:rFonts w:ascii="Calibri" w:hAnsi="Calibri" w:cs="Calibri"/>
                <w:color w:val="000000"/>
                <w:sz w:val="24"/>
                <w:szCs w:val="24"/>
              </w:rPr>
              <w:t>Exams Contingency Policy</w:t>
            </w:r>
          </w:p>
          <w:p w14:paraId="49A998FF" w14:textId="77777777" w:rsidR="00616D7F" w:rsidRPr="00616D7F" w:rsidRDefault="00616D7F" w:rsidP="00616D7F">
            <w:pPr>
              <w:pStyle w:val="ListParagraph"/>
              <w:autoSpaceDE w:val="0"/>
              <w:autoSpaceDN w:val="0"/>
              <w:adjustRightInd w:val="0"/>
              <w:rPr>
                <w:rFonts w:ascii="Calibri" w:hAnsi="Calibri" w:cs="Calibri"/>
                <w:b/>
                <w:color w:val="000000"/>
                <w:sz w:val="24"/>
                <w:szCs w:val="24"/>
              </w:rPr>
            </w:pPr>
            <w:r w:rsidRPr="00616D7F">
              <w:rPr>
                <w:rFonts w:ascii="Calibri" w:hAnsi="Calibri" w:cs="Calibri"/>
                <w:b/>
                <w:color w:val="000000"/>
                <w:sz w:val="24"/>
                <w:szCs w:val="24"/>
              </w:rPr>
              <w:lastRenderedPageBreak/>
              <w:t>Special Consideration</w:t>
            </w:r>
          </w:p>
          <w:p w14:paraId="0A5F5E0F" w14:textId="77777777" w:rsidR="00616D7F" w:rsidRPr="00616D7F" w:rsidRDefault="00616D7F" w:rsidP="00616D7F">
            <w:pPr>
              <w:pStyle w:val="ListParagraph"/>
              <w:autoSpaceDE w:val="0"/>
              <w:autoSpaceDN w:val="0"/>
              <w:adjustRightInd w:val="0"/>
              <w:rPr>
                <w:rFonts w:ascii="Calibri" w:hAnsi="Calibri" w:cs="Calibri"/>
                <w:color w:val="000000"/>
                <w:sz w:val="24"/>
                <w:szCs w:val="24"/>
              </w:rPr>
            </w:pPr>
          </w:p>
          <w:p w14:paraId="07A81CC0" w14:textId="77777777" w:rsidR="00D83D8A" w:rsidRDefault="00616D7F" w:rsidP="00616D7F">
            <w:pPr>
              <w:pStyle w:val="ListParagraph"/>
              <w:autoSpaceDE w:val="0"/>
              <w:autoSpaceDN w:val="0"/>
              <w:adjustRightInd w:val="0"/>
              <w:rPr>
                <w:rFonts w:ascii="Calibri" w:hAnsi="Calibri" w:cs="Calibri"/>
                <w:color w:val="000000"/>
                <w:sz w:val="24"/>
                <w:szCs w:val="24"/>
              </w:rPr>
            </w:pPr>
            <w:r w:rsidRPr="00616D7F">
              <w:rPr>
                <w:rFonts w:ascii="Calibri" w:hAnsi="Calibri" w:cs="Calibri"/>
                <w:color w:val="000000"/>
                <w:sz w:val="24"/>
                <w:szCs w:val="24"/>
              </w:rPr>
              <w:t>Special Consideration is a post examination adjustment to a candidate's mark or grade to reflect temporary injury, illness or other indisposition at the time of the examination/assessment.</w:t>
            </w:r>
          </w:p>
          <w:p w14:paraId="5763A72C" w14:textId="77777777" w:rsidR="00D83D8A" w:rsidRDefault="00D83D8A">
            <w:pPr>
              <w:pStyle w:val="ListParagraph"/>
              <w:autoSpaceDE w:val="0"/>
              <w:autoSpaceDN w:val="0"/>
              <w:adjustRightInd w:val="0"/>
              <w:rPr>
                <w:rFonts w:ascii="Calibri" w:hAnsi="Calibri" w:cs="Calibri"/>
                <w:color w:val="000000"/>
                <w:sz w:val="24"/>
                <w:szCs w:val="24"/>
              </w:rPr>
            </w:pPr>
          </w:p>
        </w:tc>
      </w:tr>
    </w:tbl>
    <w:p w14:paraId="1F79DA93" w14:textId="77777777" w:rsidR="00D83D8A" w:rsidRDefault="00D83D8A"/>
    <w:sectPr w:rsidR="00D83D8A">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7F4A4" w14:textId="77777777" w:rsidR="00D83D8A" w:rsidRDefault="00355842">
      <w:pPr>
        <w:spacing w:after="0" w:line="240" w:lineRule="auto"/>
      </w:pPr>
      <w:r>
        <w:separator/>
      </w:r>
    </w:p>
  </w:endnote>
  <w:endnote w:type="continuationSeparator" w:id="0">
    <w:p w14:paraId="55FF27C9" w14:textId="77777777" w:rsidR="00D83D8A" w:rsidRDefault="00355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Rockwell">
    <w:panose1 w:val="020606030202050204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ockwell Condensed">
    <w:panose1 w:val="020606030504050201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97480" w14:textId="77777777" w:rsidR="00D83D8A" w:rsidRDefault="00D83D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2931145"/>
      <w:docPartObj>
        <w:docPartGallery w:val="Page Numbers (Bottom of Page)"/>
        <w:docPartUnique/>
      </w:docPartObj>
    </w:sdtPr>
    <w:sdtEndPr>
      <w:rPr>
        <w:noProof/>
      </w:rPr>
    </w:sdtEndPr>
    <w:sdtContent>
      <w:p w14:paraId="4A43B523" w14:textId="77777777" w:rsidR="00D83D8A" w:rsidRDefault="00355842">
        <w:pPr>
          <w:pStyle w:val="Footer"/>
          <w:pBdr>
            <w:top w:val="single" w:sz="4" w:space="1" w:color="auto"/>
          </w:pBdr>
          <w:jc w:val="right"/>
        </w:pPr>
        <w:r>
          <w:fldChar w:fldCharType="begin"/>
        </w:r>
        <w:r>
          <w:instrText xml:space="preserve"> PAGE   \* MERGEFORMAT </w:instrText>
        </w:r>
        <w:r>
          <w:fldChar w:fldCharType="separate"/>
        </w:r>
        <w:r w:rsidR="00043C31">
          <w:rPr>
            <w:noProof/>
          </w:rPr>
          <w:t>7</w:t>
        </w:r>
        <w:r>
          <w:rPr>
            <w:noProof/>
          </w:rPr>
          <w:fldChar w:fldCharType="end"/>
        </w:r>
      </w:p>
    </w:sdtContent>
  </w:sdt>
  <w:p w14:paraId="2288CB52" w14:textId="77777777" w:rsidR="00D83D8A" w:rsidRDefault="00D83D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91564" w14:textId="77777777" w:rsidR="00D83D8A" w:rsidRDefault="00D83D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E68A4" w14:textId="77777777" w:rsidR="00D83D8A" w:rsidRDefault="00355842">
      <w:pPr>
        <w:spacing w:after="0" w:line="240" w:lineRule="auto"/>
      </w:pPr>
      <w:r>
        <w:separator/>
      </w:r>
    </w:p>
  </w:footnote>
  <w:footnote w:type="continuationSeparator" w:id="0">
    <w:p w14:paraId="3A0ACEED" w14:textId="77777777" w:rsidR="00D83D8A" w:rsidRDefault="003558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59EA7" w14:textId="77777777" w:rsidR="00D83D8A" w:rsidRDefault="00D83D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C81F0" w14:textId="77777777" w:rsidR="00D83D8A" w:rsidRDefault="00355842">
    <w:pPr>
      <w:pStyle w:val="Header"/>
    </w:pPr>
    <w:r>
      <w:rPr>
        <w:noProof/>
        <w:lang w:eastAsia="en-GB"/>
      </w:rPr>
      <w:drawing>
        <wp:inline distT="0" distB="0" distL="0" distR="0" wp14:anchorId="1CD82BF8" wp14:editId="2C1B7C32">
          <wp:extent cx="1802765" cy="810895"/>
          <wp:effectExtent l="0" t="0" r="6985" b="8255"/>
          <wp:docPr id="4" name="Picture 4" descr="\\staff\Documents$\avril.harrison\Desktop\DSS Colou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aff\Documents$\avril.harrison\Desktop\DSS Colour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2765" cy="810895"/>
                  </a:xfrm>
                  <a:prstGeom prst="rect">
                    <a:avLst/>
                  </a:prstGeom>
                  <a:noFill/>
                  <a:ln>
                    <a:noFill/>
                  </a:ln>
                </pic:spPr>
              </pic:pic>
            </a:graphicData>
          </a:graphic>
        </wp:inline>
      </w:drawing>
    </w:r>
  </w:p>
  <w:p w14:paraId="2551B7EB" w14:textId="77777777" w:rsidR="00D83D8A" w:rsidRDefault="00D83D8A">
    <w:pPr>
      <w:pStyle w:val="Header"/>
      <w:pBdr>
        <w:bottom w:val="single" w:sz="4" w:space="1" w:color="auto"/>
      </w:pBdr>
    </w:pPr>
  </w:p>
  <w:p w14:paraId="4B098325" w14:textId="77777777" w:rsidR="00D83D8A" w:rsidRDefault="00D83D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49C24" w14:textId="77777777" w:rsidR="00D83D8A" w:rsidRDefault="00D83D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C7CBE"/>
    <w:multiLevelType w:val="hybridMultilevel"/>
    <w:tmpl w:val="917E0610"/>
    <w:lvl w:ilvl="0" w:tplc="08090001">
      <w:start w:val="1"/>
      <w:numFmt w:val="bullet"/>
      <w:lvlText w:val=""/>
      <w:lvlJc w:val="left"/>
      <w:pPr>
        <w:ind w:left="1146" w:hanging="360"/>
      </w:pPr>
      <w:rPr>
        <w:rFonts w:ascii="Symbol" w:hAnsi="Symbol" w:hint="default"/>
      </w:rPr>
    </w:lvl>
    <w:lvl w:ilvl="1" w:tplc="08090003">
      <w:start w:val="1"/>
      <w:numFmt w:val="bullet"/>
      <w:lvlText w:val="o"/>
      <w:lvlJc w:val="left"/>
      <w:pPr>
        <w:ind w:left="1866" w:hanging="360"/>
      </w:pPr>
      <w:rPr>
        <w:rFonts w:ascii="Courier New" w:hAnsi="Courier New" w:cs="Courier New" w:hint="default"/>
      </w:rPr>
    </w:lvl>
    <w:lvl w:ilvl="2" w:tplc="08090005">
      <w:start w:val="1"/>
      <w:numFmt w:val="bullet"/>
      <w:lvlText w:val=""/>
      <w:lvlJc w:val="left"/>
      <w:pPr>
        <w:ind w:left="2586" w:hanging="360"/>
      </w:pPr>
      <w:rPr>
        <w:rFonts w:ascii="Wingdings" w:hAnsi="Wingdings" w:hint="default"/>
      </w:rPr>
    </w:lvl>
    <w:lvl w:ilvl="3" w:tplc="08090001">
      <w:start w:val="1"/>
      <w:numFmt w:val="bullet"/>
      <w:lvlText w:val=""/>
      <w:lvlJc w:val="left"/>
      <w:pPr>
        <w:ind w:left="3306" w:hanging="360"/>
      </w:pPr>
      <w:rPr>
        <w:rFonts w:ascii="Symbol" w:hAnsi="Symbol" w:hint="default"/>
      </w:rPr>
    </w:lvl>
    <w:lvl w:ilvl="4" w:tplc="08090003">
      <w:start w:val="1"/>
      <w:numFmt w:val="bullet"/>
      <w:lvlText w:val="o"/>
      <w:lvlJc w:val="left"/>
      <w:pPr>
        <w:ind w:left="4026" w:hanging="360"/>
      </w:pPr>
      <w:rPr>
        <w:rFonts w:ascii="Courier New" w:hAnsi="Courier New" w:cs="Courier New" w:hint="default"/>
      </w:rPr>
    </w:lvl>
    <w:lvl w:ilvl="5" w:tplc="08090005">
      <w:start w:val="1"/>
      <w:numFmt w:val="bullet"/>
      <w:lvlText w:val=""/>
      <w:lvlJc w:val="left"/>
      <w:pPr>
        <w:ind w:left="4746" w:hanging="360"/>
      </w:pPr>
      <w:rPr>
        <w:rFonts w:ascii="Wingdings" w:hAnsi="Wingdings" w:hint="default"/>
      </w:rPr>
    </w:lvl>
    <w:lvl w:ilvl="6" w:tplc="08090001">
      <w:start w:val="1"/>
      <w:numFmt w:val="bullet"/>
      <w:lvlText w:val=""/>
      <w:lvlJc w:val="left"/>
      <w:pPr>
        <w:ind w:left="5466" w:hanging="360"/>
      </w:pPr>
      <w:rPr>
        <w:rFonts w:ascii="Symbol" w:hAnsi="Symbol" w:hint="default"/>
      </w:rPr>
    </w:lvl>
    <w:lvl w:ilvl="7" w:tplc="08090003">
      <w:start w:val="1"/>
      <w:numFmt w:val="bullet"/>
      <w:lvlText w:val="o"/>
      <w:lvlJc w:val="left"/>
      <w:pPr>
        <w:ind w:left="6186" w:hanging="360"/>
      </w:pPr>
      <w:rPr>
        <w:rFonts w:ascii="Courier New" w:hAnsi="Courier New" w:cs="Courier New" w:hint="default"/>
      </w:rPr>
    </w:lvl>
    <w:lvl w:ilvl="8" w:tplc="08090005">
      <w:start w:val="1"/>
      <w:numFmt w:val="bullet"/>
      <w:lvlText w:val=""/>
      <w:lvlJc w:val="left"/>
      <w:pPr>
        <w:ind w:left="6906" w:hanging="360"/>
      </w:pPr>
      <w:rPr>
        <w:rFonts w:ascii="Wingdings" w:hAnsi="Wingdings" w:hint="default"/>
      </w:rPr>
    </w:lvl>
  </w:abstractNum>
  <w:abstractNum w:abstractNumId="1" w15:restartNumberingAfterBreak="0">
    <w:nsid w:val="05374038"/>
    <w:multiLevelType w:val="hybridMultilevel"/>
    <w:tmpl w:val="6B40D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4148B6"/>
    <w:multiLevelType w:val="multilevel"/>
    <w:tmpl w:val="574C9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0028CF"/>
    <w:multiLevelType w:val="multilevel"/>
    <w:tmpl w:val="ACD4E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9A7DD5"/>
    <w:multiLevelType w:val="multilevel"/>
    <w:tmpl w:val="620602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114BB0"/>
    <w:multiLevelType w:val="hybridMultilevel"/>
    <w:tmpl w:val="3A182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B7504B"/>
    <w:multiLevelType w:val="hybridMultilevel"/>
    <w:tmpl w:val="A4B64AC2"/>
    <w:lvl w:ilvl="0" w:tplc="3C32D15E">
      <w:start w:val="1"/>
      <w:numFmt w:val="decimal"/>
      <w:lvlText w:val="%1."/>
      <w:lvlJc w:val="left"/>
      <w:pPr>
        <w:ind w:left="720" w:hanging="360"/>
      </w:pPr>
      <w:rPr>
        <w:rFonts w:ascii="Calibri" w:hAnsi="Calibri" w:cs="Calibri" w:hint="default"/>
        <w:color w:val="FFFFF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986BC6"/>
    <w:multiLevelType w:val="hybridMultilevel"/>
    <w:tmpl w:val="96801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C93BB7"/>
    <w:multiLevelType w:val="hybridMultilevel"/>
    <w:tmpl w:val="283CDC8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9" w15:restartNumberingAfterBreak="0">
    <w:nsid w:val="33CB3861"/>
    <w:multiLevelType w:val="hybridMultilevel"/>
    <w:tmpl w:val="63FE6378"/>
    <w:lvl w:ilvl="0" w:tplc="784674C4">
      <w:start w:val="8"/>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3F918B8"/>
    <w:multiLevelType w:val="multilevel"/>
    <w:tmpl w:val="C8144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1D0A21"/>
    <w:multiLevelType w:val="hybridMultilevel"/>
    <w:tmpl w:val="90207E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4526C3F"/>
    <w:multiLevelType w:val="hybridMultilevel"/>
    <w:tmpl w:val="EE08315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F262B0"/>
    <w:multiLevelType w:val="hybridMultilevel"/>
    <w:tmpl w:val="2A6E2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C205704"/>
    <w:multiLevelType w:val="multilevel"/>
    <w:tmpl w:val="1A6606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C359DD"/>
    <w:multiLevelType w:val="hybridMultilevel"/>
    <w:tmpl w:val="9DAE84C8"/>
    <w:lvl w:ilvl="0" w:tplc="784674C4">
      <w:start w:val="8"/>
      <w:numFmt w:val="bullet"/>
      <w:lvlText w:val="•"/>
      <w:lvlJc w:val="left"/>
      <w:pPr>
        <w:ind w:left="720" w:hanging="360"/>
      </w:pPr>
      <w:rPr>
        <w:rFonts w:ascii="Calibri" w:eastAsiaTheme="minorHAnsi" w:hAnsi="Calibri" w:cs="Calibri" w:hint="default"/>
      </w:rPr>
    </w:lvl>
    <w:lvl w:ilvl="1" w:tplc="156C0F6E">
      <w:start w:val="4"/>
      <w:numFmt w:val="bullet"/>
      <w:lvlText w:val="·"/>
      <w:lvlJc w:val="left"/>
      <w:pPr>
        <w:ind w:left="1440" w:hanging="360"/>
      </w:pPr>
      <w:rPr>
        <w:rFonts w:ascii="Calibri" w:eastAsiaTheme="minorHAnsi" w:hAnsi="Calibri"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EA4339"/>
    <w:multiLevelType w:val="hybridMultilevel"/>
    <w:tmpl w:val="5D306E3C"/>
    <w:lvl w:ilvl="0" w:tplc="784674C4">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B92A77"/>
    <w:multiLevelType w:val="multilevel"/>
    <w:tmpl w:val="AD204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C30D3A"/>
    <w:multiLevelType w:val="hybridMultilevel"/>
    <w:tmpl w:val="4288BFA6"/>
    <w:lvl w:ilvl="0" w:tplc="784674C4">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9B672D"/>
    <w:multiLevelType w:val="hybridMultilevel"/>
    <w:tmpl w:val="EC3C4E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0124AA"/>
    <w:multiLevelType w:val="hybridMultilevel"/>
    <w:tmpl w:val="AB324EDE"/>
    <w:lvl w:ilvl="0" w:tplc="784674C4">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C55680"/>
    <w:multiLevelType w:val="hybridMultilevel"/>
    <w:tmpl w:val="64C8EB80"/>
    <w:lvl w:ilvl="0" w:tplc="784674C4">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1050C2"/>
    <w:multiLevelType w:val="multilevel"/>
    <w:tmpl w:val="E59E7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9B49FB"/>
    <w:multiLevelType w:val="hybridMultilevel"/>
    <w:tmpl w:val="EACADCE2"/>
    <w:lvl w:ilvl="0" w:tplc="784674C4">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EC1647"/>
    <w:multiLevelType w:val="hybridMultilevel"/>
    <w:tmpl w:val="CA4EA39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0532312"/>
    <w:multiLevelType w:val="hybridMultilevel"/>
    <w:tmpl w:val="57908536"/>
    <w:lvl w:ilvl="0" w:tplc="08090001">
      <w:start w:val="1"/>
      <w:numFmt w:val="bullet"/>
      <w:lvlText w:val=""/>
      <w:lvlJc w:val="left"/>
      <w:pPr>
        <w:ind w:left="1146" w:hanging="360"/>
      </w:pPr>
      <w:rPr>
        <w:rFonts w:ascii="Symbol" w:hAnsi="Symbol" w:hint="default"/>
      </w:rPr>
    </w:lvl>
    <w:lvl w:ilvl="1" w:tplc="08090003">
      <w:start w:val="1"/>
      <w:numFmt w:val="bullet"/>
      <w:lvlText w:val="o"/>
      <w:lvlJc w:val="left"/>
      <w:pPr>
        <w:ind w:left="1866" w:hanging="360"/>
      </w:pPr>
      <w:rPr>
        <w:rFonts w:ascii="Courier New" w:hAnsi="Courier New" w:cs="Courier New" w:hint="default"/>
      </w:rPr>
    </w:lvl>
    <w:lvl w:ilvl="2" w:tplc="08090005">
      <w:start w:val="1"/>
      <w:numFmt w:val="bullet"/>
      <w:lvlText w:val=""/>
      <w:lvlJc w:val="left"/>
      <w:pPr>
        <w:ind w:left="2586" w:hanging="360"/>
      </w:pPr>
      <w:rPr>
        <w:rFonts w:ascii="Wingdings" w:hAnsi="Wingdings" w:hint="default"/>
      </w:rPr>
    </w:lvl>
    <w:lvl w:ilvl="3" w:tplc="08090001">
      <w:start w:val="1"/>
      <w:numFmt w:val="bullet"/>
      <w:lvlText w:val=""/>
      <w:lvlJc w:val="left"/>
      <w:pPr>
        <w:ind w:left="3306" w:hanging="360"/>
      </w:pPr>
      <w:rPr>
        <w:rFonts w:ascii="Symbol" w:hAnsi="Symbol" w:hint="default"/>
      </w:rPr>
    </w:lvl>
    <w:lvl w:ilvl="4" w:tplc="08090003">
      <w:start w:val="1"/>
      <w:numFmt w:val="bullet"/>
      <w:lvlText w:val="o"/>
      <w:lvlJc w:val="left"/>
      <w:pPr>
        <w:ind w:left="4026" w:hanging="360"/>
      </w:pPr>
      <w:rPr>
        <w:rFonts w:ascii="Courier New" w:hAnsi="Courier New" w:cs="Courier New" w:hint="default"/>
      </w:rPr>
    </w:lvl>
    <w:lvl w:ilvl="5" w:tplc="08090005">
      <w:start w:val="1"/>
      <w:numFmt w:val="bullet"/>
      <w:lvlText w:val=""/>
      <w:lvlJc w:val="left"/>
      <w:pPr>
        <w:ind w:left="4746" w:hanging="360"/>
      </w:pPr>
      <w:rPr>
        <w:rFonts w:ascii="Wingdings" w:hAnsi="Wingdings" w:hint="default"/>
      </w:rPr>
    </w:lvl>
    <w:lvl w:ilvl="6" w:tplc="08090001">
      <w:start w:val="1"/>
      <w:numFmt w:val="bullet"/>
      <w:lvlText w:val=""/>
      <w:lvlJc w:val="left"/>
      <w:pPr>
        <w:ind w:left="5466" w:hanging="360"/>
      </w:pPr>
      <w:rPr>
        <w:rFonts w:ascii="Symbol" w:hAnsi="Symbol" w:hint="default"/>
      </w:rPr>
    </w:lvl>
    <w:lvl w:ilvl="7" w:tplc="08090003">
      <w:start w:val="1"/>
      <w:numFmt w:val="bullet"/>
      <w:lvlText w:val="o"/>
      <w:lvlJc w:val="left"/>
      <w:pPr>
        <w:ind w:left="6186" w:hanging="360"/>
      </w:pPr>
      <w:rPr>
        <w:rFonts w:ascii="Courier New" w:hAnsi="Courier New" w:cs="Courier New" w:hint="default"/>
      </w:rPr>
    </w:lvl>
    <w:lvl w:ilvl="8" w:tplc="08090005">
      <w:start w:val="1"/>
      <w:numFmt w:val="bullet"/>
      <w:lvlText w:val=""/>
      <w:lvlJc w:val="left"/>
      <w:pPr>
        <w:ind w:left="6906" w:hanging="360"/>
      </w:pPr>
      <w:rPr>
        <w:rFonts w:ascii="Wingdings" w:hAnsi="Wingdings" w:hint="default"/>
      </w:rPr>
    </w:lvl>
  </w:abstractNum>
  <w:abstractNum w:abstractNumId="26" w15:restartNumberingAfterBreak="0">
    <w:nsid w:val="621F009E"/>
    <w:multiLevelType w:val="hybridMultilevel"/>
    <w:tmpl w:val="C8F01F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D975BC"/>
    <w:multiLevelType w:val="hybridMultilevel"/>
    <w:tmpl w:val="DAE2C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F45DA8"/>
    <w:multiLevelType w:val="hybridMultilevel"/>
    <w:tmpl w:val="42C84C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BD40486"/>
    <w:multiLevelType w:val="multilevel"/>
    <w:tmpl w:val="79D8D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D72F82"/>
    <w:multiLevelType w:val="hybridMultilevel"/>
    <w:tmpl w:val="A4B64AC2"/>
    <w:lvl w:ilvl="0" w:tplc="3C32D15E">
      <w:start w:val="1"/>
      <w:numFmt w:val="decimal"/>
      <w:lvlText w:val="%1."/>
      <w:lvlJc w:val="left"/>
      <w:pPr>
        <w:ind w:left="720" w:hanging="360"/>
      </w:pPr>
      <w:rPr>
        <w:rFonts w:ascii="Calibri" w:hAnsi="Calibri" w:cs="Calibri" w:hint="default"/>
        <w:color w:val="FFFFF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DD6D9B"/>
    <w:multiLevelType w:val="hybridMultilevel"/>
    <w:tmpl w:val="DEEE0B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2FE3EA8"/>
    <w:multiLevelType w:val="hybridMultilevel"/>
    <w:tmpl w:val="A95A4D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1479841">
    <w:abstractNumId w:val="21"/>
  </w:num>
  <w:num w:numId="2" w16cid:durableId="1326587786">
    <w:abstractNumId w:val="20"/>
  </w:num>
  <w:num w:numId="3" w16cid:durableId="376781209">
    <w:abstractNumId w:val="16"/>
  </w:num>
  <w:num w:numId="4" w16cid:durableId="1982882872">
    <w:abstractNumId w:val="23"/>
  </w:num>
  <w:num w:numId="5" w16cid:durableId="791285213">
    <w:abstractNumId w:val="9"/>
  </w:num>
  <w:num w:numId="6" w16cid:durableId="2025786731">
    <w:abstractNumId w:val="12"/>
  </w:num>
  <w:num w:numId="7" w16cid:durableId="1551653884">
    <w:abstractNumId w:val="18"/>
  </w:num>
  <w:num w:numId="8" w16cid:durableId="1564412695">
    <w:abstractNumId w:val="15"/>
  </w:num>
  <w:num w:numId="9" w16cid:durableId="115951558">
    <w:abstractNumId w:val="13"/>
  </w:num>
  <w:num w:numId="10" w16cid:durableId="996029556">
    <w:abstractNumId w:val="28"/>
  </w:num>
  <w:num w:numId="11" w16cid:durableId="1806269184">
    <w:abstractNumId w:val="10"/>
  </w:num>
  <w:num w:numId="12" w16cid:durableId="628631968">
    <w:abstractNumId w:val="30"/>
  </w:num>
  <w:num w:numId="13" w16cid:durableId="1466242538">
    <w:abstractNumId w:val="22"/>
  </w:num>
  <w:num w:numId="14" w16cid:durableId="2065252813">
    <w:abstractNumId w:val="14"/>
  </w:num>
  <w:num w:numId="15" w16cid:durableId="1384475821">
    <w:abstractNumId w:val="4"/>
  </w:num>
  <w:num w:numId="16" w16cid:durableId="1563709674">
    <w:abstractNumId w:val="17"/>
  </w:num>
  <w:num w:numId="17" w16cid:durableId="1125387524">
    <w:abstractNumId w:val="2"/>
  </w:num>
  <w:num w:numId="18" w16cid:durableId="615914556">
    <w:abstractNumId w:val="3"/>
  </w:num>
  <w:num w:numId="19" w16cid:durableId="1922333043">
    <w:abstractNumId w:val="29"/>
  </w:num>
  <w:num w:numId="20" w16cid:durableId="1521041591">
    <w:abstractNumId w:val="26"/>
  </w:num>
  <w:num w:numId="21" w16cid:durableId="1440488507">
    <w:abstractNumId w:val="5"/>
  </w:num>
  <w:num w:numId="22" w16cid:durableId="915558399">
    <w:abstractNumId w:val="6"/>
  </w:num>
  <w:num w:numId="23" w16cid:durableId="2137290283">
    <w:abstractNumId w:val="1"/>
  </w:num>
  <w:num w:numId="24" w16cid:durableId="572811693">
    <w:abstractNumId w:val="27"/>
  </w:num>
  <w:num w:numId="25" w16cid:durableId="282342771">
    <w:abstractNumId w:val="7"/>
  </w:num>
  <w:num w:numId="26" w16cid:durableId="717242588">
    <w:abstractNumId w:val="24"/>
  </w:num>
  <w:num w:numId="27" w16cid:durableId="1360354072">
    <w:abstractNumId w:val="19"/>
  </w:num>
  <w:num w:numId="28" w16cid:durableId="2095735431">
    <w:abstractNumId w:val="32"/>
  </w:num>
  <w:num w:numId="29" w16cid:durableId="823860529">
    <w:abstractNumId w:val="8"/>
  </w:num>
  <w:num w:numId="30" w16cid:durableId="1839271019">
    <w:abstractNumId w:val="0"/>
  </w:num>
  <w:num w:numId="31" w16cid:durableId="993067994">
    <w:abstractNumId w:val="25"/>
  </w:num>
  <w:num w:numId="32" w16cid:durableId="1018577581">
    <w:abstractNumId w:val="11"/>
  </w:num>
  <w:num w:numId="33" w16cid:durableId="997851460">
    <w:abstractNumId w:val="31"/>
  </w:num>
  <w:num w:numId="34" w16cid:durableId="885214097">
    <w:abstractNumId w:val="0"/>
  </w:num>
  <w:num w:numId="35" w16cid:durableId="557326571">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D8A"/>
    <w:rsid w:val="00043C31"/>
    <w:rsid w:val="001D53B8"/>
    <w:rsid w:val="00313267"/>
    <w:rsid w:val="00355842"/>
    <w:rsid w:val="00616D7F"/>
    <w:rsid w:val="00954A73"/>
    <w:rsid w:val="009D061A"/>
    <w:rsid w:val="00B35E33"/>
    <w:rsid w:val="00D83D8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5EF140D"/>
  <w15:docId w15:val="{EF66B9FC-432C-45BB-8CF4-80F5F6C7D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qFormat/>
    <w:pPr>
      <w:spacing w:before="100" w:beforeAutospacing="1" w:after="100" w:afterAutospacing="1" w:line="240" w:lineRule="auto"/>
      <w:outlineLvl w:val="0"/>
    </w:pPr>
    <w:rPr>
      <w:rFonts w:ascii="Verdana" w:eastAsia="Times New Roman" w:hAnsi="Verdana" w:cs="Times New Roman"/>
      <w:kern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000FF" w:themeColor="hyperlink"/>
      <w:u w:val="single"/>
    </w:rPr>
  </w:style>
  <w:style w:type="character" w:customStyle="1" w:styleId="Heading1Char">
    <w:name w:val="Heading 1 Char"/>
    <w:basedOn w:val="DefaultParagraphFont"/>
    <w:link w:val="Heading1"/>
    <w:rPr>
      <w:rFonts w:ascii="Verdana" w:eastAsia="Times New Roman" w:hAnsi="Verdana" w:cs="Times New Roman"/>
      <w:kern w:val="36"/>
      <w:lang w:eastAsia="en-GB"/>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eadinglevel2">
    <w:name w:val="Heading level 2"/>
    <w:basedOn w:val="Normal"/>
    <w:qFormat/>
    <w:rsid w:val="00B35E33"/>
    <w:pPr>
      <w:keepNext/>
      <w:spacing w:before="480" w:after="240" w:line="240" w:lineRule="auto"/>
      <w:outlineLvl w:val="1"/>
    </w:pPr>
    <w:rPr>
      <w:rFonts w:ascii="Rockwell" w:eastAsia="Times New Roman" w:hAnsi="Rockwell" w:cs="Times New Roman"/>
      <w:b/>
      <w:color w:val="FF33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964753">
      <w:bodyDiv w:val="1"/>
      <w:marLeft w:val="0"/>
      <w:marRight w:val="0"/>
      <w:marTop w:val="0"/>
      <w:marBottom w:val="0"/>
      <w:divBdr>
        <w:top w:val="none" w:sz="0" w:space="0" w:color="auto"/>
        <w:left w:val="none" w:sz="0" w:space="0" w:color="auto"/>
        <w:bottom w:val="none" w:sz="0" w:space="0" w:color="auto"/>
        <w:right w:val="none" w:sz="0" w:space="0" w:color="auto"/>
      </w:divBdr>
    </w:div>
    <w:div w:id="201600473">
      <w:bodyDiv w:val="1"/>
      <w:marLeft w:val="0"/>
      <w:marRight w:val="0"/>
      <w:marTop w:val="0"/>
      <w:marBottom w:val="0"/>
      <w:divBdr>
        <w:top w:val="none" w:sz="0" w:space="0" w:color="auto"/>
        <w:left w:val="none" w:sz="0" w:space="0" w:color="auto"/>
        <w:bottom w:val="none" w:sz="0" w:space="0" w:color="auto"/>
        <w:right w:val="none" w:sz="0" w:space="0" w:color="auto"/>
      </w:divBdr>
    </w:div>
    <w:div w:id="275714720">
      <w:bodyDiv w:val="1"/>
      <w:marLeft w:val="0"/>
      <w:marRight w:val="0"/>
      <w:marTop w:val="0"/>
      <w:marBottom w:val="0"/>
      <w:divBdr>
        <w:top w:val="none" w:sz="0" w:space="0" w:color="auto"/>
        <w:left w:val="none" w:sz="0" w:space="0" w:color="auto"/>
        <w:bottom w:val="none" w:sz="0" w:space="0" w:color="auto"/>
        <w:right w:val="none" w:sz="0" w:space="0" w:color="auto"/>
      </w:divBdr>
    </w:div>
    <w:div w:id="478425258">
      <w:bodyDiv w:val="1"/>
      <w:marLeft w:val="0"/>
      <w:marRight w:val="0"/>
      <w:marTop w:val="0"/>
      <w:marBottom w:val="0"/>
      <w:divBdr>
        <w:top w:val="none" w:sz="0" w:space="0" w:color="auto"/>
        <w:left w:val="none" w:sz="0" w:space="0" w:color="auto"/>
        <w:bottom w:val="none" w:sz="0" w:space="0" w:color="auto"/>
        <w:right w:val="none" w:sz="0" w:space="0" w:color="auto"/>
      </w:divBdr>
    </w:div>
    <w:div w:id="890071532">
      <w:bodyDiv w:val="1"/>
      <w:marLeft w:val="0"/>
      <w:marRight w:val="0"/>
      <w:marTop w:val="0"/>
      <w:marBottom w:val="0"/>
      <w:divBdr>
        <w:top w:val="none" w:sz="0" w:space="0" w:color="auto"/>
        <w:left w:val="none" w:sz="0" w:space="0" w:color="auto"/>
        <w:bottom w:val="none" w:sz="0" w:space="0" w:color="auto"/>
        <w:right w:val="none" w:sz="0" w:space="0" w:color="auto"/>
      </w:divBdr>
    </w:div>
    <w:div w:id="947274593">
      <w:bodyDiv w:val="1"/>
      <w:marLeft w:val="0"/>
      <w:marRight w:val="0"/>
      <w:marTop w:val="0"/>
      <w:marBottom w:val="0"/>
      <w:divBdr>
        <w:top w:val="none" w:sz="0" w:space="0" w:color="auto"/>
        <w:left w:val="none" w:sz="0" w:space="0" w:color="auto"/>
        <w:bottom w:val="none" w:sz="0" w:space="0" w:color="auto"/>
        <w:right w:val="none" w:sz="0" w:space="0" w:color="auto"/>
      </w:divBdr>
    </w:div>
    <w:div w:id="1032265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cq.org.uk/exams-office/general-regulations"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cq.org.uk/exams-office/access-arrangements-and-special-consideration/regulations-and-guidanc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jcq.org.uk/exams-office/access-arrangements-and-special-consideration/regulations-and-guidanc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jcq.org.uk/exams-office/access-arrangements-and-special-consideration/regulations-and-guidance"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2BBF3A-9C22-4B15-B244-FD8D61989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1469</Words>
  <Characters>8379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Kingston Maurward College</Company>
  <LinksUpToDate>false</LinksUpToDate>
  <CharactersWithSpaces>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Avril Harrison</dc:creator>
  <cp:lastModifiedBy>Lisa Ramsden</cp:lastModifiedBy>
  <cp:revision>3</cp:revision>
  <cp:lastPrinted>2014-01-30T09:47:00Z</cp:lastPrinted>
  <dcterms:created xsi:type="dcterms:W3CDTF">2025-04-29T10:50:00Z</dcterms:created>
  <dcterms:modified xsi:type="dcterms:W3CDTF">2025-04-29T10:51:00Z</dcterms:modified>
</cp:coreProperties>
</file>