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95251" w14:textId="77777777" w:rsidR="00943800" w:rsidRDefault="00943800"/>
    <w:p w14:paraId="5947D9D9" w14:textId="77777777" w:rsidR="00943800" w:rsidRDefault="00943800"/>
    <w:tbl>
      <w:tblPr>
        <w:tblStyle w:val="TableGrid"/>
        <w:tblW w:w="9338" w:type="dxa"/>
        <w:tblLook w:val="04A0" w:firstRow="1" w:lastRow="0" w:firstColumn="1" w:lastColumn="0" w:noHBand="0" w:noVBand="1"/>
      </w:tblPr>
      <w:tblGrid>
        <w:gridCol w:w="9338"/>
      </w:tblGrid>
      <w:tr w:rsidR="00943800" w14:paraId="4142AA05" w14:textId="77777777">
        <w:trPr>
          <w:trHeight w:val="662"/>
        </w:trPr>
        <w:tc>
          <w:tcPr>
            <w:tcW w:w="9338" w:type="dxa"/>
            <w:shd w:val="clear" w:color="auto" w:fill="7030A0"/>
            <w:vAlign w:val="center"/>
          </w:tcPr>
          <w:p w14:paraId="347D2D61" w14:textId="77777777" w:rsidR="00943800" w:rsidRDefault="00B53D17">
            <w:pPr>
              <w:rPr>
                <w:color w:val="FFFFFF" w:themeColor="background1"/>
                <w:sz w:val="44"/>
                <w:szCs w:val="44"/>
              </w:rPr>
            </w:pPr>
            <w:r>
              <w:rPr>
                <w:rFonts w:ascii="Calibri" w:hAnsi="Calibri" w:cs="Calibri"/>
                <w:color w:val="FFFFFF"/>
                <w:sz w:val="44"/>
                <w:szCs w:val="44"/>
              </w:rPr>
              <w:t xml:space="preserve">Special Consideration Policy </w:t>
            </w:r>
          </w:p>
        </w:tc>
      </w:tr>
      <w:tr w:rsidR="00943800" w14:paraId="252390AD" w14:textId="77777777">
        <w:trPr>
          <w:trHeight w:val="2284"/>
        </w:trPr>
        <w:tc>
          <w:tcPr>
            <w:tcW w:w="9338" w:type="dxa"/>
          </w:tcPr>
          <w:p w14:paraId="35815C1B" w14:textId="77777777" w:rsidR="00943800" w:rsidRDefault="00943800"/>
          <w:p w14:paraId="3EB74CED" w14:textId="77777777" w:rsidR="00943800" w:rsidRDefault="00B53D17">
            <w:r>
              <w:t xml:space="preserve">Document produced by: Lisa </w:t>
            </w:r>
            <w:proofErr w:type="spellStart"/>
            <w:r>
              <w:t>Emblen</w:t>
            </w:r>
            <w:proofErr w:type="spellEnd"/>
            <w:r>
              <w:t xml:space="preserve"> </w:t>
            </w:r>
          </w:p>
          <w:p w14:paraId="190F0720" w14:textId="77777777" w:rsidR="00943800" w:rsidRDefault="00943800"/>
          <w:p w14:paraId="70912718" w14:textId="77777777" w:rsidR="00943800" w:rsidRDefault="00B53D17">
            <w:r>
              <w:t>Date produced: March 2017</w:t>
            </w:r>
          </w:p>
          <w:p w14:paraId="0B95C712" w14:textId="77777777" w:rsidR="00943800" w:rsidRDefault="00943800"/>
          <w:p w14:paraId="0C02C10E" w14:textId="77777777" w:rsidR="00943800" w:rsidRDefault="00B53D17">
            <w:r>
              <w:t>Adopted by SLT: March 2017</w:t>
            </w:r>
          </w:p>
          <w:p w14:paraId="60B4DC73" w14:textId="77777777" w:rsidR="00943800" w:rsidRDefault="00943800"/>
          <w:p w14:paraId="157A019F" w14:textId="77777777" w:rsidR="00943800" w:rsidRDefault="00B53D17">
            <w:r>
              <w:t>To be reviewed: October 2019</w:t>
            </w:r>
          </w:p>
          <w:p w14:paraId="049CDC13" w14:textId="77777777" w:rsidR="00943800" w:rsidRDefault="00943800"/>
          <w:p w14:paraId="10B377EF" w14:textId="77777777" w:rsidR="00943800" w:rsidRDefault="00B53D17">
            <w:pPr>
              <w:rPr>
                <w:sz w:val="24"/>
                <w:szCs w:val="24"/>
              </w:rPr>
            </w:pPr>
            <w:r>
              <w:rPr>
                <w:sz w:val="24"/>
                <w:szCs w:val="24"/>
              </w:rPr>
              <w:t>Reviewed and agreed to be correct by Tracey Webb – December 2019</w:t>
            </w:r>
          </w:p>
          <w:p w14:paraId="500CB3AF" w14:textId="77777777" w:rsidR="00943800" w:rsidRDefault="00943800">
            <w:pPr>
              <w:rPr>
                <w:sz w:val="24"/>
                <w:szCs w:val="24"/>
              </w:rPr>
            </w:pPr>
          </w:p>
          <w:p w14:paraId="125632B1" w14:textId="0C4907F7" w:rsidR="00943800" w:rsidRDefault="00B53D17">
            <w:pPr>
              <w:rPr>
                <w:sz w:val="24"/>
                <w:szCs w:val="24"/>
              </w:rPr>
            </w:pPr>
            <w:r>
              <w:rPr>
                <w:sz w:val="24"/>
                <w:szCs w:val="24"/>
              </w:rPr>
              <w:t>Reviewed by S Sadd – March 2022</w:t>
            </w:r>
          </w:p>
          <w:p w14:paraId="24C748D3" w14:textId="77777777" w:rsidR="00B53D17" w:rsidRDefault="00B53D17">
            <w:pPr>
              <w:rPr>
                <w:sz w:val="24"/>
                <w:szCs w:val="24"/>
              </w:rPr>
            </w:pPr>
          </w:p>
          <w:p w14:paraId="4BF91BFB" w14:textId="6A0A1AEE" w:rsidR="00B53D17" w:rsidRDefault="00B53D17">
            <w:pPr>
              <w:rPr>
                <w:sz w:val="24"/>
                <w:szCs w:val="24"/>
              </w:rPr>
            </w:pPr>
            <w:r>
              <w:rPr>
                <w:sz w:val="24"/>
                <w:szCs w:val="24"/>
              </w:rPr>
              <w:t>Reviewed by L Ramsden – March 2024</w:t>
            </w:r>
          </w:p>
          <w:p w14:paraId="0FE37C48" w14:textId="77777777" w:rsidR="00943800" w:rsidRDefault="00943800"/>
        </w:tc>
      </w:tr>
    </w:tbl>
    <w:p w14:paraId="6072115D" w14:textId="77777777" w:rsidR="00943800" w:rsidRDefault="00943800"/>
    <w:p w14:paraId="131118CB" w14:textId="77777777" w:rsidR="00943800" w:rsidRDefault="00B53D17">
      <w:r>
        <w:br w:type="page"/>
      </w:r>
    </w:p>
    <w:p w14:paraId="11F0EED4" w14:textId="77777777" w:rsidR="00943800" w:rsidRDefault="00943800"/>
    <w:p w14:paraId="6306EEA4" w14:textId="77777777" w:rsidR="00943800" w:rsidRDefault="00943800"/>
    <w:p w14:paraId="1BFDE930" w14:textId="77777777" w:rsidR="00943800" w:rsidRDefault="00943800"/>
    <w:tbl>
      <w:tblPr>
        <w:tblStyle w:val="TableGrid"/>
        <w:tblW w:w="0" w:type="auto"/>
        <w:tblLook w:val="04A0" w:firstRow="1" w:lastRow="0" w:firstColumn="1" w:lastColumn="0" w:noHBand="0" w:noVBand="1"/>
      </w:tblPr>
      <w:tblGrid>
        <w:gridCol w:w="9016"/>
      </w:tblGrid>
      <w:tr w:rsidR="00943800" w14:paraId="3014F478" w14:textId="77777777">
        <w:trPr>
          <w:trHeight w:val="715"/>
        </w:trPr>
        <w:tc>
          <w:tcPr>
            <w:tcW w:w="9242" w:type="dxa"/>
            <w:shd w:val="clear" w:color="auto" w:fill="7030A0"/>
            <w:vAlign w:val="center"/>
          </w:tcPr>
          <w:p w14:paraId="76E7A795" w14:textId="77777777" w:rsidR="00943800" w:rsidRDefault="00B53D17">
            <w:pPr>
              <w:pStyle w:val="Heading1"/>
              <w:rPr>
                <w:color w:val="FFFFFF" w:themeColor="background1"/>
                <w:sz w:val="44"/>
                <w:szCs w:val="44"/>
              </w:rPr>
            </w:pPr>
            <w:r>
              <w:rPr>
                <w:rFonts w:asciiTheme="minorHAnsi" w:hAnsiTheme="minorHAnsi" w:cs="Arial"/>
                <w:color w:val="FFFFFF" w:themeColor="background1"/>
                <w:sz w:val="44"/>
                <w:szCs w:val="44"/>
              </w:rPr>
              <w:t>Policy Aims:</w:t>
            </w:r>
          </w:p>
        </w:tc>
      </w:tr>
      <w:tr w:rsidR="00943800" w14:paraId="2A89B6F7" w14:textId="77777777">
        <w:tc>
          <w:tcPr>
            <w:tcW w:w="9242" w:type="dxa"/>
          </w:tcPr>
          <w:p w14:paraId="2EF36474" w14:textId="77777777" w:rsidR="00943800" w:rsidRDefault="00943800">
            <w:pPr>
              <w:pStyle w:val="Heading1"/>
              <w:spacing w:before="0" w:beforeAutospacing="0" w:after="0" w:afterAutospacing="0"/>
              <w:ind w:left="720"/>
              <w:rPr>
                <w:rFonts w:asciiTheme="minorHAnsi" w:hAnsiTheme="minorHAnsi" w:cs="Arial"/>
              </w:rPr>
            </w:pPr>
          </w:p>
          <w:p w14:paraId="4A618D35" w14:textId="77777777" w:rsidR="00943800" w:rsidRDefault="00B53D17">
            <w:pPr>
              <w:autoSpaceDE w:val="0"/>
              <w:autoSpaceDN w:val="0"/>
              <w:adjustRightInd w:val="0"/>
              <w:spacing w:line="276" w:lineRule="auto"/>
              <w:rPr>
                <w:rFonts w:cs="Arial"/>
                <w:i/>
                <w:color w:val="000000"/>
              </w:rPr>
            </w:pPr>
            <w:r>
              <w:rPr>
                <w:rFonts w:cs="Arial"/>
                <w:color w:val="000000"/>
              </w:rPr>
              <w:t xml:space="preserve">The purpose of this policy is to identify roles and responsibilities in the special consideration process and confirms that Dorset Studio School agrees to </w:t>
            </w:r>
            <w:r>
              <w:rPr>
                <w:rFonts w:cs="Arial"/>
                <w:i/>
                <w:color w:val="000000"/>
              </w:rPr>
              <w:t xml:space="preserve">“submit any applications for special consideration where candidates meet the published criteria.”                                   </w:t>
            </w:r>
          </w:p>
          <w:p w14:paraId="1B7306A5" w14:textId="77777777" w:rsidR="00943800" w:rsidRDefault="00943800">
            <w:pPr>
              <w:autoSpaceDE w:val="0"/>
              <w:autoSpaceDN w:val="0"/>
              <w:adjustRightInd w:val="0"/>
              <w:spacing w:line="276" w:lineRule="auto"/>
              <w:rPr>
                <w:rFonts w:cs="Arial"/>
                <w:i/>
                <w:color w:val="000000"/>
              </w:rPr>
            </w:pPr>
          </w:p>
          <w:p w14:paraId="26D299FF" w14:textId="77777777" w:rsidR="00943800" w:rsidRDefault="00B53D17">
            <w:pPr>
              <w:autoSpaceDE w:val="0"/>
              <w:autoSpaceDN w:val="0"/>
              <w:adjustRightInd w:val="0"/>
              <w:spacing w:line="276" w:lineRule="auto"/>
              <w:rPr>
                <w:rFonts w:cs="Arial"/>
                <w:i/>
                <w:color w:val="000000"/>
              </w:rPr>
            </w:pPr>
            <w:r>
              <w:t xml:space="preserve">[JCQ </w:t>
            </w:r>
            <w:r>
              <w:rPr>
                <w:rFonts w:cs="Arial"/>
                <w:i/>
              </w:rPr>
              <w:t xml:space="preserve">General regulations for approved centres </w:t>
            </w:r>
            <w:r>
              <w:t>Chapter 5]</w:t>
            </w:r>
          </w:p>
          <w:p w14:paraId="786A8BFF" w14:textId="77777777" w:rsidR="00943800" w:rsidRDefault="00943800">
            <w:pPr>
              <w:autoSpaceDE w:val="0"/>
              <w:autoSpaceDN w:val="0"/>
              <w:adjustRightInd w:val="0"/>
              <w:jc w:val="both"/>
              <w:rPr>
                <w:rFonts w:ascii="Calibri" w:hAnsi="Calibri" w:cs="Arial"/>
              </w:rPr>
            </w:pPr>
          </w:p>
        </w:tc>
      </w:tr>
    </w:tbl>
    <w:p w14:paraId="003CE8FE" w14:textId="77777777" w:rsidR="00943800" w:rsidRDefault="00943800">
      <w:pPr>
        <w:spacing w:after="120"/>
      </w:pPr>
    </w:p>
    <w:tbl>
      <w:tblPr>
        <w:tblStyle w:val="TableGrid"/>
        <w:tblW w:w="0" w:type="auto"/>
        <w:tblLook w:val="04A0" w:firstRow="1" w:lastRow="0" w:firstColumn="1" w:lastColumn="0" w:noHBand="0" w:noVBand="1"/>
      </w:tblPr>
      <w:tblGrid>
        <w:gridCol w:w="9016"/>
      </w:tblGrid>
      <w:tr w:rsidR="00943800" w14:paraId="432847A0" w14:textId="77777777">
        <w:tc>
          <w:tcPr>
            <w:tcW w:w="9016" w:type="dxa"/>
            <w:shd w:val="clear" w:color="auto" w:fill="7030A0"/>
            <w:vAlign w:val="center"/>
          </w:tcPr>
          <w:p w14:paraId="3BC301C9" w14:textId="77777777" w:rsidR="00943800" w:rsidRDefault="00B53D17">
            <w:pPr>
              <w:rPr>
                <w:color w:val="FFFFFF" w:themeColor="background1"/>
                <w:sz w:val="44"/>
                <w:szCs w:val="44"/>
              </w:rPr>
            </w:pPr>
            <w:r>
              <w:rPr>
                <w:color w:val="FFFFFF" w:themeColor="background1"/>
                <w:sz w:val="44"/>
                <w:szCs w:val="44"/>
              </w:rPr>
              <w:t>What is Special Consideration:</w:t>
            </w:r>
          </w:p>
        </w:tc>
      </w:tr>
      <w:tr w:rsidR="00943800" w14:paraId="0B4B4A58" w14:textId="77777777">
        <w:tc>
          <w:tcPr>
            <w:tcW w:w="9016" w:type="dxa"/>
          </w:tcPr>
          <w:p w14:paraId="7B50918C" w14:textId="77777777" w:rsidR="00943800" w:rsidRDefault="00943800">
            <w:pPr>
              <w:pStyle w:val="Heading1"/>
              <w:spacing w:before="0" w:beforeAutospacing="0" w:after="0" w:afterAutospacing="0"/>
              <w:rPr>
                <w:rFonts w:ascii="Arial" w:hAnsi="Arial" w:cs="Arial"/>
              </w:rPr>
            </w:pPr>
          </w:p>
          <w:p w14:paraId="5CECB28D" w14:textId="77777777" w:rsidR="00943800" w:rsidRDefault="00B53D17">
            <w:pPr>
              <w:autoSpaceDE w:val="0"/>
              <w:autoSpaceDN w:val="0"/>
              <w:adjustRightInd w:val="0"/>
              <w:spacing w:line="276" w:lineRule="auto"/>
              <w:rPr>
                <w:rFonts w:cs="Arial"/>
                <w:i/>
                <w:color w:val="000000"/>
              </w:rPr>
            </w:pPr>
            <w:r>
              <w:rPr>
                <w:rFonts w:cs="Arial"/>
                <w:bCs/>
                <w:i/>
                <w:color w:val="000000"/>
              </w:rPr>
              <w:t>“</w:t>
            </w:r>
            <w:r>
              <w:rPr>
                <w:rFonts w:cs="Arial"/>
                <w:i/>
                <w:color w:val="000000"/>
              </w:rPr>
              <w:t xml:space="preserve">Special consideration is a post-examination adjustment to a candidate’s mark or grade to reflect temporary illness, </w:t>
            </w:r>
            <w:r>
              <w:rPr>
                <w:rFonts w:cs="Arial"/>
                <w:i/>
                <w:color w:val="000000"/>
              </w:rPr>
              <w:t>temporary injury or some other event outside of the candidate’s control at the time of the assessment, which has had, or is reasonably likely to have had, a material effect on a candidate’s ability to take an assessment or demonstrate his or her normal level of attainment in an assessment.  Special consideration can only seek to go some way to assist a candidate affected by a potentially wide range of difficulties, emotional or physical, which may influence performance in examinations.  It cannot remove the</w:t>
            </w:r>
            <w:r>
              <w:rPr>
                <w:rFonts w:cs="Arial"/>
                <w:i/>
                <w:color w:val="000000"/>
              </w:rPr>
              <w:t xml:space="preserve"> difficulty faced by the candidate. There will be situations where candidates should not be entered for an examination. Only minor adjustments can be made to the mark awarded because to do more than this would jeopardize the standard of the examination.”</w:t>
            </w:r>
          </w:p>
          <w:p w14:paraId="7F8AAD73" w14:textId="77777777" w:rsidR="00943800" w:rsidRDefault="00B53D17">
            <w:pPr>
              <w:spacing w:line="276" w:lineRule="auto"/>
              <w:jc w:val="right"/>
              <w:rPr>
                <w:rFonts w:cs="Arial"/>
                <w:bCs/>
                <w:sz w:val="20"/>
                <w:szCs w:val="20"/>
              </w:rPr>
            </w:pPr>
            <w:r>
              <w:rPr>
                <w:sz w:val="20"/>
                <w:szCs w:val="20"/>
              </w:rPr>
              <w:t xml:space="preserve">[JCQ </w:t>
            </w:r>
            <w:r>
              <w:rPr>
                <w:rFonts w:eastAsiaTheme="majorEastAsia" w:cs="Arial"/>
                <w:i/>
                <w:sz w:val="20"/>
                <w:szCs w:val="20"/>
              </w:rPr>
              <w:t xml:space="preserve">A guide to the special consideration process </w:t>
            </w:r>
            <w:r>
              <w:rPr>
                <w:rFonts w:eastAsiaTheme="majorEastAsia" w:cs="Arial"/>
                <w:sz w:val="20"/>
                <w:szCs w:val="20"/>
              </w:rPr>
              <w:t>Chapter 1</w:t>
            </w:r>
            <w:r>
              <w:rPr>
                <w:rFonts w:cs="Arial"/>
                <w:bCs/>
                <w:sz w:val="20"/>
                <w:szCs w:val="20"/>
              </w:rPr>
              <w:t>]</w:t>
            </w:r>
          </w:p>
          <w:p w14:paraId="062D1A01" w14:textId="77777777" w:rsidR="00943800" w:rsidRDefault="00943800">
            <w:pPr>
              <w:autoSpaceDE w:val="0"/>
              <w:autoSpaceDN w:val="0"/>
              <w:adjustRightInd w:val="0"/>
              <w:spacing w:line="276" w:lineRule="auto"/>
              <w:rPr>
                <w:rFonts w:ascii="Calibri" w:hAnsi="Calibri" w:cs="Calibri"/>
              </w:rPr>
            </w:pPr>
          </w:p>
        </w:tc>
      </w:tr>
    </w:tbl>
    <w:p w14:paraId="626FCB5D" w14:textId="77777777" w:rsidR="00943800" w:rsidRDefault="00943800"/>
    <w:tbl>
      <w:tblPr>
        <w:tblStyle w:val="TableGrid"/>
        <w:tblW w:w="9338" w:type="dxa"/>
        <w:tblLook w:val="04A0" w:firstRow="1" w:lastRow="0" w:firstColumn="1" w:lastColumn="0" w:noHBand="0" w:noVBand="1"/>
      </w:tblPr>
      <w:tblGrid>
        <w:gridCol w:w="9338"/>
      </w:tblGrid>
      <w:tr w:rsidR="00943800" w14:paraId="36246ABF" w14:textId="77777777">
        <w:trPr>
          <w:trHeight w:val="662"/>
        </w:trPr>
        <w:tc>
          <w:tcPr>
            <w:tcW w:w="9338" w:type="dxa"/>
            <w:shd w:val="clear" w:color="auto" w:fill="7030A0"/>
            <w:vAlign w:val="center"/>
          </w:tcPr>
          <w:p w14:paraId="75D98DDE" w14:textId="77777777" w:rsidR="00943800" w:rsidRDefault="00B53D17">
            <w:pPr>
              <w:rPr>
                <w:color w:val="FFFFFF" w:themeColor="background1"/>
                <w:sz w:val="44"/>
                <w:szCs w:val="44"/>
              </w:rPr>
            </w:pPr>
            <w:r>
              <w:rPr>
                <w:color w:val="FFFFFF" w:themeColor="background1"/>
                <w:sz w:val="44"/>
                <w:szCs w:val="44"/>
              </w:rPr>
              <w:t xml:space="preserve">Eligibility For Special </w:t>
            </w:r>
            <w:proofErr w:type="gramStart"/>
            <w:r>
              <w:rPr>
                <w:color w:val="FFFFFF" w:themeColor="background1"/>
                <w:sz w:val="44"/>
                <w:szCs w:val="44"/>
              </w:rPr>
              <w:t>Consideration :</w:t>
            </w:r>
            <w:proofErr w:type="gramEnd"/>
          </w:p>
        </w:tc>
      </w:tr>
      <w:tr w:rsidR="00943800" w14:paraId="4E5A43D7" w14:textId="77777777">
        <w:trPr>
          <w:trHeight w:val="1219"/>
        </w:trPr>
        <w:tc>
          <w:tcPr>
            <w:tcW w:w="9338" w:type="dxa"/>
          </w:tcPr>
          <w:p w14:paraId="2E1FE6D9" w14:textId="77777777" w:rsidR="00943800" w:rsidRDefault="00943800">
            <w:pPr>
              <w:autoSpaceDE w:val="0"/>
              <w:autoSpaceDN w:val="0"/>
              <w:adjustRightInd w:val="0"/>
              <w:rPr>
                <w:rFonts w:cs="Arial"/>
              </w:rPr>
            </w:pPr>
          </w:p>
          <w:p w14:paraId="18E7D4EC" w14:textId="77777777" w:rsidR="00943800" w:rsidRDefault="00B53D17">
            <w:pPr>
              <w:rPr>
                <w:rFonts w:cs="Arial"/>
                <w:b/>
              </w:rPr>
            </w:pPr>
            <w:r>
              <w:rPr>
                <w:rFonts w:cs="Arial"/>
                <w:b/>
              </w:rPr>
              <w:t>Roles and Responsibilities</w:t>
            </w:r>
          </w:p>
          <w:p w14:paraId="10E01D28" w14:textId="77777777" w:rsidR="00943800" w:rsidRDefault="00943800">
            <w:pPr>
              <w:rPr>
                <w:rFonts w:cs="Arial"/>
                <w:b/>
              </w:rPr>
            </w:pPr>
          </w:p>
          <w:p w14:paraId="00CB3C96" w14:textId="77777777" w:rsidR="00943800" w:rsidRDefault="00B53D17">
            <w:pPr>
              <w:rPr>
                <w:rFonts w:cs="Arial"/>
                <w:b/>
              </w:rPr>
            </w:pPr>
            <w:r>
              <w:rPr>
                <w:rFonts w:cs="Arial"/>
                <w:b/>
              </w:rPr>
              <w:t>Head of centre</w:t>
            </w:r>
          </w:p>
          <w:p w14:paraId="0FDFEAB0" w14:textId="77777777" w:rsidR="00943800" w:rsidRDefault="00B53D17">
            <w:pPr>
              <w:pStyle w:val="ListParagraph"/>
              <w:numPr>
                <w:ilvl w:val="0"/>
                <w:numId w:val="41"/>
              </w:numPr>
              <w:spacing w:line="276" w:lineRule="auto"/>
            </w:pPr>
            <w:r>
              <w:rPr>
                <w:rFonts w:cs="Arial"/>
              </w:rPr>
              <w:t>Is</w:t>
            </w:r>
            <w:r>
              <w:t xml:space="preserve"> familiar with the contents, refers to and directs relevant centre staff to the annually updated JCQ publication.</w:t>
            </w:r>
          </w:p>
          <w:p w14:paraId="1C3B0B27" w14:textId="77777777" w:rsidR="00943800" w:rsidRDefault="00B53D17">
            <w:pPr>
              <w:pStyle w:val="ListParagraph"/>
              <w:numPr>
                <w:ilvl w:val="0"/>
                <w:numId w:val="41"/>
              </w:numPr>
              <w:spacing w:line="276" w:lineRule="auto"/>
              <w:rPr>
                <w:rFonts w:cs="Arial"/>
                <w:bCs/>
                <w:color w:val="000000"/>
              </w:rPr>
            </w:pPr>
            <w:r>
              <w:rPr>
                <w:rFonts w:cs="Arial"/>
                <w:color w:val="000000"/>
              </w:rPr>
              <w:t xml:space="preserve">Ensures that, where relevant and in eligible situations, applications for special consideration are submitted to awarding bodies by the exams officer. </w:t>
            </w:r>
          </w:p>
          <w:p w14:paraId="20279267" w14:textId="77777777" w:rsidR="00943800" w:rsidRDefault="00943800">
            <w:pPr>
              <w:spacing w:line="276" w:lineRule="auto"/>
              <w:rPr>
                <w:b/>
              </w:rPr>
            </w:pPr>
          </w:p>
          <w:p w14:paraId="2928303B" w14:textId="77777777" w:rsidR="00943800" w:rsidRDefault="00B53D17">
            <w:pPr>
              <w:spacing w:line="276" w:lineRule="auto"/>
              <w:rPr>
                <w:b/>
              </w:rPr>
            </w:pPr>
            <w:r>
              <w:rPr>
                <w:b/>
              </w:rPr>
              <w:t>Exams officer</w:t>
            </w:r>
          </w:p>
          <w:p w14:paraId="05CF091D" w14:textId="77777777" w:rsidR="00943800" w:rsidRDefault="00B53D17">
            <w:pPr>
              <w:pStyle w:val="ListParagraph"/>
              <w:numPr>
                <w:ilvl w:val="0"/>
                <w:numId w:val="42"/>
              </w:numPr>
              <w:spacing w:line="276" w:lineRule="auto"/>
            </w:pPr>
            <w:r>
              <w:t>Understands the criteria to determine where candidates will/will not be eligible for special consideration.</w:t>
            </w:r>
          </w:p>
          <w:p w14:paraId="729D45CE" w14:textId="77777777" w:rsidR="00943800" w:rsidRDefault="00B53D17">
            <w:pPr>
              <w:pStyle w:val="ListParagraph"/>
              <w:numPr>
                <w:ilvl w:val="0"/>
                <w:numId w:val="42"/>
              </w:numPr>
              <w:spacing w:line="276" w:lineRule="auto"/>
            </w:pPr>
            <w:r>
              <w:t xml:space="preserve">Ensures that, </w:t>
            </w:r>
            <w:r>
              <w:rPr>
                <w:rFonts w:cs="Arial"/>
                <w:color w:val="000000"/>
              </w:rPr>
              <w:t>where relevant and in eligible situations, applications for special consideration are submitted to awarding bodies.</w:t>
            </w:r>
          </w:p>
          <w:p w14:paraId="168BF519" w14:textId="77777777" w:rsidR="00943800" w:rsidRDefault="00943800">
            <w:pPr>
              <w:spacing w:line="276" w:lineRule="auto"/>
              <w:rPr>
                <w:b/>
              </w:rPr>
            </w:pPr>
          </w:p>
          <w:p w14:paraId="124688B1" w14:textId="77777777" w:rsidR="00943800" w:rsidRDefault="00B53D17">
            <w:pPr>
              <w:spacing w:line="276" w:lineRule="auto"/>
            </w:pPr>
            <w:r>
              <w:rPr>
                <w:b/>
              </w:rPr>
              <w:t>Teaching staff and/or SENCo</w:t>
            </w:r>
          </w:p>
          <w:p w14:paraId="36F6A227" w14:textId="77777777" w:rsidR="00943800" w:rsidRDefault="00B53D17">
            <w:pPr>
              <w:pStyle w:val="ListParagraph"/>
              <w:numPr>
                <w:ilvl w:val="0"/>
                <w:numId w:val="40"/>
              </w:numPr>
              <w:autoSpaceDE w:val="0"/>
              <w:autoSpaceDN w:val="0"/>
              <w:adjustRightInd w:val="0"/>
              <w:spacing w:line="276" w:lineRule="auto"/>
              <w:rPr>
                <w:rFonts w:cs="Arial"/>
              </w:rPr>
            </w:pPr>
            <w:r>
              <w:rPr>
                <w:rFonts w:cs="Arial"/>
              </w:rPr>
              <w:t xml:space="preserve">Provide </w:t>
            </w:r>
            <w:r>
              <w:t>any appropriate evidence or information that may be required to determine a candidate’s eligibility for special consideration.</w:t>
            </w:r>
          </w:p>
          <w:p w14:paraId="2EB78052" w14:textId="77777777" w:rsidR="00943800" w:rsidRDefault="00943800">
            <w:pPr>
              <w:spacing w:line="276" w:lineRule="auto"/>
              <w:rPr>
                <w:b/>
              </w:rPr>
            </w:pPr>
          </w:p>
          <w:p w14:paraId="50C28E93" w14:textId="77777777" w:rsidR="00943800" w:rsidRDefault="00B53D17">
            <w:pPr>
              <w:spacing w:line="276" w:lineRule="auto"/>
            </w:pPr>
            <w:r>
              <w:rPr>
                <w:b/>
              </w:rPr>
              <w:t>Candidates (or parents/carers)</w:t>
            </w:r>
          </w:p>
          <w:p w14:paraId="52E46D80" w14:textId="77777777" w:rsidR="00943800" w:rsidRDefault="00B53D17">
            <w:pPr>
              <w:pStyle w:val="ListParagraph"/>
              <w:numPr>
                <w:ilvl w:val="0"/>
                <w:numId w:val="40"/>
              </w:numPr>
              <w:autoSpaceDE w:val="0"/>
              <w:autoSpaceDN w:val="0"/>
              <w:adjustRightInd w:val="0"/>
              <w:spacing w:line="276" w:lineRule="auto"/>
              <w:rPr>
                <w:rFonts w:cs="Arial"/>
              </w:rPr>
            </w:pPr>
            <w:r>
              <w:t>Provide any medical or other evidence that may be required to determine eligibility for special consideration.</w:t>
            </w:r>
          </w:p>
          <w:p w14:paraId="2049A803" w14:textId="77777777" w:rsidR="00943800" w:rsidRDefault="00943800">
            <w:pPr>
              <w:autoSpaceDE w:val="0"/>
              <w:autoSpaceDN w:val="0"/>
              <w:adjustRightInd w:val="0"/>
              <w:rPr>
                <w:rFonts w:cs="Arial"/>
              </w:rPr>
            </w:pPr>
          </w:p>
          <w:p w14:paraId="44BF2CC4" w14:textId="77777777" w:rsidR="00943800" w:rsidRDefault="00B53D17">
            <w:pPr>
              <w:pStyle w:val="Headinglevel2"/>
              <w:tabs>
                <w:tab w:val="left" w:pos="2039"/>
              </w:tabs>
              <w:spacing w:before="0" w:after="0" w:line="276" w:lineRule="auto"/>
              <w:rPr>
                <w:rFonts w:asciiTheme="minorHAnsi" w:hAnsiTheme="minorHAnsi"/>
                <w:color w:val="auto"/>
                <w:sz w:val="22"/>
                <w:szCs w:val="22"/>
              </w:rPr>
            </w:pPr>
            <w:bookmarkStart w:id="0" w:name="_Toc465499778"/>
            <w:r>
              <w:rPr>
                <w:rFonts w:asciiTheme="minorHAnsi" w:hAnsiTheme="minorHAnsi"/>
                <w:color w:val="auto"/>
                <w:sz w:val="22"/>
                <w:szCs w:val="22"/>
              </w:rPr>
              <w:t>Applying for special consideration</w:t>
            </w:r>
            <w:bookmarkEnd w:id="0"/>
          </w:p>
          <w:p w14:paraId="75254573" w14:textId="77777777" w:rsidR="00943800" w:rsidRDefault="00943800">
            <w:pPr>
              <w:pStyle w:val="Headinglevel2"/>
              <w:tabs>
                <w:tab w:val="left" w:pos="2039"/>
              </w:tabs>
              <w:spacing w:before="0" w:after="0" w:line="276" w:lineRule="auto"/>
              <w:rPr>
                <w:rFonts w:asciiTheme="minorHAnsi" w:hAnsiTheme="minorHAnsi"/>
                <w:color w:val="auto"/>
                <w:sz w:val="22"/>
                <w:szCs w:val="22"/>
              </w:rPr>
            </w:pPr>
          </w:p>
          <w:p w14:paraId="31E63C59" w14:textId="77777777" w:rsidR="00943800" w:rsidRDefault="00B53D17">
            <w:pPr>
              <w:spacing w:line="276" w:lineRule="auto"/>
              <w:rPr>
                <w:rFonts w:cs="Arial"/>
                <w:bCs/>
              </w:rPr>
            </w:pPr>
            <w:r>
              <w:rPr>
                <w:bCs/>
              </w:rPr>
              <w:t xml:space="preserve">Where eligible, special consideration is applied for in a specific exam series where candidates </w:t>
            </w:r>
            <w:r>
              <w:rPr>
                <w:rFonts w:cs="Arial"/>
                <w:bCs/>
                <w:i/>
              </w:rPr>
              <w:t xml:space="preserve">“have been fully prepared and have covered the whole course but performance in the examination, or in the production of controlled assessment, coursework or non-examination assessment, is materially affected by adverse circumstances beyond their control.”                                                                                                           </w:t>
            </w:r>
          </w:p>
          <w:p w14:paraId="68A5E7A3" w14:textId="77777777" w:rsidR="00943800" w:rsidRDefault="00943800">
            <w:pPr>
              <w:spacing w:line="276" w:lineRule="auto"/>
              <w:rPr>
                <w:rFonts w:cs="Arial"/>
                <w:bCs/>
              </w:rPr>
            </w:pPr>
          </w:p>
          <w:p w14:paraId="3FB45918" w14:textId="77777777" w:rsidR="00943800" w:rsidRDefault="00B53D17">
            <w:pPr>
              <w:spacing w:line="276" w:lineRule="auto"/>
              <w:rPr>
                <w:bCs/>
              </w:rPr>
            </w:pPr>
            <w:r>
              <w:rPr>
                <w:rFonts w:cs="Arial"/>
                <w:color w:val="000000"/>
              </w:rPr>
              <w:t xml:space="preserve">If a candidate is absent for acceptable reasons, and the centre can verify this, special consideration is applied for if the exam missed is in the terminal series and the </w:t>
            </w:r>
            <w:r>
              <w:rPr>
                <w:bCs/>
                <w:i/>
              </w:rPr>
              <w:t xml:space="preserve">minimum requirements for enhanced grading in cases of acceptable absence </w:t>
            </w:r>
            <w:r>
              <w:rPr>
                <w:bCs/>
              </w:rPr>
              <w:t xml:space="preserve">can be met. </w:t>
            </w:r>
            <w:r>
              <w:rPr>
                <w:rFonts w:cs="Arial"/>
                <w:bCs/>
              </w:rPr>
              <w:t>If there is an opportunity to re-enter the candidate in the next available exam series, the centre will make the entry and special consideration is not applied for.</w:t>
            </w:r>
          </w:p>
          <w:p w14:paraId="04CAB162" w14:textId="77777777" w:rsidR="00943800" w:rsidRDefault="00943800">
            <w:pPr>
              <w:spacing w:line="276" w:lineRule="auto"/>
              <w:rPr>
                <w:rFonts w:cs="Arial"/>
              </w:rPr>
            </w:pPr>
          </w:p>
          <w:p w14:paraId="6F03B0E6" w14:textId="77777777" w:rsidR="00943800" w:rsidRDefault="00B53D17">
            <w:pPr>
              <w:spacing w:line="276" w:lineRule="auto"/>
              <w:rPr>
                <w:rFonts w:cs="Arial"/>
                <w:color w:val="000000"/>
              </w:rPr>
            </w:pPr>
            <w:r>
              <w:rPr>
                <w:rFonts w:cs="Arial"/>
              </w:rPr>
              <w:t>Where other issues or problems affect a candidate or a group of candidates, special consideration may be applied for where eligible. This might include, for example:</w:t>
            </w:r>
          </w:p>
          <w:p w14:paraId="7BA65F83" w14:textId="77777777" w:rsidR="00943800" w:rsidRDefault="00B53D17">
            <w:pPr>
              <w:pStyle w:val="ListParagraph"/>
              <w:numPr>
                <w:ilvl w:val="0"/>
                <w:numId w:val="44"/>
              </w:numPr>
              <w:spacing w:line="276" w:lineRule="auto"/>
              <w:rPr>
                <w:rFonts w:cs="Arial"/>
                <w:color w:val="000000"/>
              </w:rPr>
            </w:pPr>
            <w:r>
              <w:rPr>
                <w:rFonts w:cs="Arial"/>
                <w:color w:val="000000"/>
              </w:rPr>
              <w:t>a short extension to controlled assessment/coursework/non-examination assessment deadlines</w:t>
            </w:r>
          </w:p>
          <w:p w14:paraId="38AB1D73" w14:textId="77777777" w:rsidR="00943800" w:rsidRDefault="00B53D17">
            <w:pPr>
              <w:pStyle w:val="ListParagraph"/>
              <w:numPr>
                <w:ilvl w:val="0"/>
                <w:numId w:val="44"/>
              </w:numPr>
              <w:spacing w:line="276" w:lineRule="auto"/>
              <w:rPr>
                <w:rFonts w:cs="Arial"/>
                <w:color w:val="000000"/>
              </w:rPr>
            </w:pPr>
            <w:r>
              <w:rPr>
                <w:rFonts w:cs="Arial"/>
                <w:color w:val="000000"/>
              </w:rPr>
              <w:t>submitting a reduced quantity of controlled assessment/coursework/non-examination assessment (shortfall in work)</w:t>
            </w:r>
          </w:p>
          <w:p w14:paraId="17959E2B" w14:textId="77777777" w:rsidR="00943800" w:rsidRDefault="00B53D17">
            <w:pPr>
              <w:pStyle w:val="ListParagraph"/>
              <w:numPr>
                <w:ilvl w:val="0"/>
                <w:numId w:val="44"/>
              </w:numPr>
              <w:spacing w:line="276" w:lineRule="auto"/>
              <w:rPr>
                <w:rFonts w:cs="Arial"/>
                <w:color w:val="000000"/>
              </w:rPr>
            </w:pPr>
            <w:r>
              <w:rPr>
                <w:rFonts w:cs="Arial"/>
                <w:color w:val="000000"/>
              </w:rPr>
              <w:t>lost or damaged work</w:t>
            </w:r>
          </w:p>
          <w:p w14:paraId="61E1A5D8" w14:textId="77777777" w:rsidR="00943800" w:rsidRDefault="00B53D17">
            <w:pPr>
              <w:pStyle w:val="ListParagraph"/>
              <w:numPr>
                <w:ilvl w:val="0"/>
                <w:numId w:val="44"/>
              </w:numPr>
              <w:spacing w:line="276" w:lineRule="auto"/>
              <w:rPr>
                <w:rFonts w:cs="Arial"/>
                <w:color w:val="000000"/>
              </w:rPr>
            </w:pPr>
            <w:r>
              <w:rPr>
                <w:rFonts w:cs="Arial"/>
                <w:color w:val="000000"/>
              </w:rPr>
              <w:t>candidates taking an incorrect or defective question paper</w:t>
            </w:r>
          </w:p>
          <w:p w14:paraId="28A44196" w14:textId="77777777" w:rsidR="00943800" w:rsidRDefault="00B53D17">
            <w:pPr>
              <w:pStyle w:val="ListParagraph"/>
              <w:numPr>
                <w:ilvl w:val="0"/>
                <w:numId w:val="44"/>
              </w:numPr>
              <w:spacing w:line="276" w:lineRule="auto"/>
              <w:rPr>
                <w:rFonts w:cs="Arial"/>
                <w:color w:val="000000"/>
              </w:rPr>
            </w:pPr>
            <w:r>
              <w:rPr>
                <w:rFonts w:cs="Arial"/>
                <w:color w:val="000000"/>
              </w:rPr>
              <w:t>candidates undertaking the wrong controlled assessment assignment</w:t>
            </w:r>
          </w:p>
          <w:p w14:paraId="4074E378" w14:textId="77777777" w:rsidR="00943800" w:rsidRDefault="00943800">
            <w:pPr>
              <w:autoSpaceDE w:val="0"/>
              <w:autoSpaceDN w:val="0"/>
              <w:adjustRightInd w:val="0"/>
              <w:rPr>
                <w:rFonts w:cs="Arial"/>
              </w:rPr>
            </w:pPr>
          </w:p>
          <w:p w14:paraId="5F475379" w14:textId="77777777" w:rsidR="00943800" w:rsidRDefault="00B53D17">
            <w:pPr>
              <w:autoSpaceDE w:val="0"/>
              <w:autoSpaceDN w:val="0"/>
              <w:adjustRightInd w:val="0"/>
              <w:rPr>
                <w:rFonts w:cs="Arial"/>
              </w:rPr>
            </w:pPr>
            <w:r>
              <w:rPr>
                <w:rFonts w:cs="Arial"/>
              </w:rPr>
              <w:t xml:space="preserve">Where a candidate may be eligible for special consideration (a post assessment adjustment) in a vocational qualification, the centre follows awarding body guidance to determine if, when and how an adjustment can be applied for. </w:t>
            </w:r>
          </w:p>
        </w:tc>
      </w:tr>
      <w:tr w:rsidR="00943800" w14:paraId="4FCAE4D4" w14:textId="77777777">
        <w:trPr>
          <w:trHeight w:val="662"/>
        </w:trPr>
        <w:tc>
          <w:tcPr>
            <w:tcW w:w="9338" w:type="dxa"/>
            <w:shd w:val="clear" w:color="auto" w:fill="7030A0"/>
            <w:vAlign w:val="center"/>
          </w:tcPr>
          <w:p w14:paraId="77E964BF" w14:textId="77777777" w:rsidR="00943800" w:rsidRDefault="00B53D17">
            <w:pPr>
              <w:rPr>
                <w:color w:val="FFFFFF" w:themeColor="background1"/>
                <w:sz w:val="44"/>
                <w:szCs w:val="44"/>
              </w:rPr>
            </w:pPr>
            <w:r>
              <w:rPr>
                <w:color w:val="FFFFFF" w:themeColor="background1"/>
                <w:sz w:val="44"/>
                <w:szCs w:val="44"/>
              </w:rPr>
              <w:lastRenderedPageBreak/>
              <w:t>Processing Applications for Special Consideration:</w:t>
            </w:r>
          </w:p>
        </w:tc>
      </w:tr>
      <w:tr w:rsidR="00943800" w14:paraId="78A008D0" w14:textId="77777777">
        <w:trPr>
          <w:trHeight w:val="1122"/>
        </w:trPr>
        <w:tc>
          <w:tcPr>
            <w:tcW w:w="9338" w:type="dxa"/>
          </w:tcPr>
          <w:p w14:paraId="35B97328" w14:textId="77777777" w:rsidR="00943800" w:rsidRDefault="00943800">
            <w:pPr>
              <w:autoSpaceDE w:val="0"/>
              <w:autoSpaceDN w:val="0"/>
              <w:adjustRightInd w:val="0"/>
              <w:rPr>
                <w:rFonts w:ascii="Calibri" w:hAnsi="Calibri" w:cs="Calibri"/>
                <w:color w:val="000000"/>
                <w:sz w:val="24"/>
                <w:szCs w:val="24"/>
              </w:rPr>
            </w:pPr>
          </w:p>
          <w:p w14:paraId="26838CB7" w14:textId="77777777" w:rsidR="00943800" w:rsidRDefault="00B53D17">
            <w:pPr>
              <w:pStyle w:val="Headinglevel2"/>
              <w:spacing w:before="0" w:after="0" w:line="276" w:lineRule="auto"/>
              <w:rPr>
                <w:rFonts w:asciiTheme="minorHAnsi" w:hAnsiTheme="minorHAnsi"/>
                <w:color w:val="auto"/>
                <w:sz w:val="22"/>
                <w:szCs w:val="22"/>
              </w:rPr>
            </w:pPr>
            <w:bookmarkStart w:id="1" w:name="_Toc465499780"/>
            <w:r>
              <w:rPr>
                <w:rFonts w:asciiTheme="minorHAnsi" w:hAnsiTheme="minorHAnsi"/>
                <w:color w:val="auto"/>
                <w:sz w:val="22"/>
                <w:szCs w:val="22"/>
              </w:rPr>
              <w:t>Roles and responsibilities</w:t>
            </w:r>
            <w:bookmarkEnd w:id="1"/>
          </w:p>
          <w:p w14:paraId="1FBA1163" w14:textId="77777777" w:rsidR="00943800" w:rsidRDefault="00943800">
            <w:pPr>
              <w:pStyle w:val="Headinglevel2"/>
              <w:spacing w:before="0" w:after="0" w:line="276" w:lineRule="auto"/>
              <w:rPr>
                <w:rFonts w:asciiTheme="minorHAnsi" w:hAnsiTheme="minorHAnsi"/>
                <w:color w:val="auto"/>
                <w:sz w:val="22"/>
                <w:szCs w:val="22"/>
              </w:rPr>
            </w:pPr>
          </w:p>
          <w:p w14:paraId="4039D2B0" w14:textId="77777777" w:rsidR="00943800" w:rsidRDefault="00B53D17">
            <w:pPr>
              <w:rPr>
                <w:rFonts w:cs="Arial"/>
                <w:b/>
              </w:rPr>
            </w:pPr>
            <w:r>
              <w:rPr>
                <w:rFonts w:cs="Arial"/>
                <w:b/>
              </w:rPr>
              <w:t>Head of centre</w:t>
            </w:r>
          </w:p>
          <w:p w14:paraId="05548DF8" w14:textId="77777777" w:rsidR="00943800" w:rsidRDefault="00B53D17">
            <w:pPr>
              <w:pStyle w:val="Default"/>
              <w:numPr>
                <w:ilvl w:val="0"/>
                <w:numId w:val="48"/>
              </w:numPr>
              <w:spacing w:before="0" w:line="276" w:lineRule="auto"/>
              <w:rPr>
                <w:rFonts w:asciiTheme="minorHAnsi" w:hAnsiTheme="minorHAnsi" w:cs="Arial"/>
                <w:sz w:val="22"/>
                <w:szCs w:val="22"/>
              </w:rPr>
            </w:pPr>
            <w:r>
              <w:rPr>
                <w:rFonts w:asciiTheme="minorHAnsi" w:hAnsiTheme="minorHAnsi" w:cs="Arial"/>
                <w:sz w:val="22"/>
                <w:szCs w:val="22"/>
              </w:rPr>
              <w:t xml:space="preserve">Ensures </w:t>
            </w:r>
            <w:r>
              <w:rPr>
                <w:rFonts w:asciiTheme="minorHAnsi" w:hAnsiTheme="minorHAnsi" w:cs="Arial"/>
                <w:sz w:val="22"/>
                <w:szCs w:val="22"/>
              </w:rPr>
              <w:t>where a candidate may be a member of family (which includes stepfamily, foster-family and similar close relationships) the exams officer, the application is authorised by an alternative member of centre staff.</w:t>
            </w:r>
          </w:p>
          <w:p w14:paraId="17D72961" w14:textId="77777777" w:rsidR="00943800" w:rsidRDefault="00943800">
            <w:pPr>
              <w:spacing w:line="276" w:lineRule="auto"/>
              <w:rPr>
                <w:b/>
              </w:rPr>
            </w:pPr>
          </w:p>
          <w:p w14:paraId="345B3040" w14:textId="77777777" w:rsidR="00943800" w:rsidRDefault="00B53D17">
            <w:pPr>
              <w:spacing w:line="276" w:lineRule="auto"/>
              <w:rPr>
                <w:b/>
              </w:rPr>
            </w:pPr>
            <w:r>
              <w:rPr>
                <w:b/>
              </w:rPr>
              <w:t>Exams officer</w:t>
            </w:r>
          </w:p>
          <w:p w14:paraId="2956E211" w14:textId="77777777" w:rsidR="00943800" w:rsidRDefault="00B53D17">
            <w:pPr>
              <w:pStyle w:val="ListParagraph"/>
              <w:numPr>
                <w:ilvl w:val="0"/>
                <w:numId w:val="49"/>
              </w:numPr>
              <w:spacing w:line="276" w:lineRule="auto"/>
            </w:pPr>
            <w:r>
              <w:t xml:space="preserve">Ensures </w:t>
            </w:r>
            <w:r>
              <w:t>applications are processed as required by the awarding bodies.</w:t>
            </w:r>
          </w:p>
          <w:p w14:paraId="052B5F5A" w14:textId="77777777" w:rsidR="00943800" w:rsidRDefault="00B53D17">
            <w:pPr>
              <w:pStyle w:val="ListParagraph"/>
              <w:numPr>
                <w:ilvl w:val="0"/>
                <w:numId w:val="49"/>
              </w:numPr>
              <w:spacing w:line="276" w:lineRule="auto"/>
            </w:pPr>
            <w:r>
              <w:t>Keeps evidence to support applications on file until after the publication of results and provides evidence in support of an application where this may be requested by an awarding body.</w:t>
            </w:r>
          </w:p>
          <w:p w14:paraId="6BF5A382" w14:textId="77777777" w:rsidR="00943800" w:rsidRDefault="00B53D17">
            <w:pPr>
              <w:pStyle w:val="ListParagraph"/>
              <w:numPr>
                <w:ilvl w:val="0"/>
                <w:numId w:val="49"/>
              </w:numPr>
              <w:spacing w:line="276" w:lineRule="auto"/>
            </w:pPr>
            <w:r>
              <w:t>Meets the required deadline(s) for submitting applications.</w:t>
            </w:r>
          </w:p>
          <w:p w14:paraId="498EABAF" w14:textId="77777777" w:rsidR="00943800" w:rsidRDefault="00943800">
            <w:pPr>
              <w:spacing w:line="276" w:lineRule="auto"/>
              <w:rPr>
                <w:b/>
              </w:rPr>
            </w:pPr>
          </w:p>
          <w:p w14:paraId="015D435A" w14:textId="77777777" w:rsidR="00943800" w:rsidRDefault="00B53D17">
            <w:pPr>
              <w:spacing w:line="276" w:lineRule="auto"/>
            </w:pPr>
            <w:r>
              <w:rPr>
                <w:b/>
              </w:rPr>
              <w:t>Teaching staff and/or SENCo</w:t>
            </w:r>
          </w:p>
          <w:p w14:paraId="71ED80F3" w14:textId="77777777" w:rsidR="00943800" w:rsidRDefault="00B53D17">
            <w:pPr>
              <w:pStyle w:val="ListParagraph"/>
              <w:numPr>
                <w:ilvl w:val="0"/>
                <w:numId w:val="49"/>
              </w:numPr>
              <w:spacing w:line="276" w:lineRule="auto"/>
            </w:pPr>
            <w:r>
              <w:rPr>
                <w:rFonts w:cs="Arial"/>
              </w:rPr>
              <w:t xml:space="preserve">Provide </w:t>
            </w:r>
            <w:r>
              <w:t>any appropriate evidence or information that may be required to support a candidate’s application for special consideration.</w:t>
            </w:r>
          </w:p>
          <w:p w14:paraId="3F78DF64" w14:textId="77777777" w:rsidR="00943800" w:rsidRDefault="00943800">
            <w:pPr>
              <w:spacing w:line="276" w:lineRule="auto"/>
              <w:rPr>
                <w:b/>
              </w:rPr>
            </w:pPr>
          </w:p>
          <w:p w14:paraId="1B1EE11D" w14:textId="77777777" w:rsidR="00943800" w:rsidRDefault="00B53D17">
            <w:pPr>
              <w:spacing w:line="276" w:lineRule="auto"/>
              <w:rPr>
                <w:b/>
              </w:rPr>
            </w:pPr>
            <w:r>
              <w:rPr>
                <w:b/>
              </w:rPr>
              <w:t xml:space="preserve">Candidates (or parents/carers) </w:t>
            </w:r>
          </w:p>
          <w:p w14:paraId="0AAECA97" w14:textId="77777777" w:rsidR="00943800" w:rsidRDefault="00B53D17">
            <w:pPr>
              <w:pStyle w:val="ListParagraph"/>
              <w:numPr>
                <w:ilvl w:val="0"/>
                <w:numId w:val="49"/>
              </w:numPr>
              <w:spacing w:line="276" w:lineRule="auto"/>
            </w:pPr>
            <w:r>
              <w:t>Provide any required medical or other evidence that may be required to support an application for special consideration.</w:t>
            </w:r>
          </w:p>
          <w:p w14:paraId="6E9EA70B" w14:textId="77777777" w:rsidR="00943800" w:rsidRDefault="00943800">
            <w:pPr>
              <w:pStyle w:val="Headinglevel2"/>
              <w:spacing w:before="0" w:after="0" w:line="276" w:lineRule="auto"/>
              <w:rPr>
                <w:rFonts w:asciiTheme="minorHAnsi" w:hAnsiTheme="minorHAnsi"/>
                <w:sz w:val="22"/>
                <w:szCs w:val="22"/>
              </w:rPr>
            </w:pPr>
            <w:bookmarkStart w:id="2" w:name="_Toc465499781"/>
          </w:p>
          <w:p w14:paraId="577B46EF" w14:textId="77777777" w:rsidR="00943800" w:rsidRDefault="00B53D17">
            <w:pPr>
              <w:pStyle w:val="Headinglevel2"/>
              <w:spacing w:before="0" w:after="0" w:line="276" w:lineRule="auto"/>
              <w:rPr>
                <w:rFonts w:asciiTheme="minorHAnsi" w:hAnsiTheme="minorHAnsi"/>
                <w:color w:val="auto"/>
                <w:sz w:val="22"/>
                <w:szCs w:val="22"/>
              </w:rPr>
            </w:pPr>
            <w:r>
              <w:rPr>
                <w:rFonts w:asciiTheme="minorHAnsi" w:hAnsiTheme="minorHAnsi"/>
                <w:color w:val="auto"/>
                <w:sz w:val="22"/>
                <w:szCs w:val="22"/>
              </w:rPr>
              <w:t>Submitting applications for special consideration</w:t>
            </w:r>
            <w:bookmarkEnd w:id="2"/>
          </w:p>
          <w:p w14:paraId="2F5D1511" w14:textId="77777777" w:rsidR="00943800" w:rsidRDefault="00943800">
            <w:pPr>
              <w:pStyle w:val="Headinglevel2"/>
              <w:spacing w:before="0" w:after="0" w:line="276" w:lineRule="auto"/>
              <w:rPr>
                <w:rFonts w:asciiTheme="minorHAnsi" w:hAnsiTheme="minorHAnsi"/>
                <w:color w:val="auto"/>
                <w:sz w:val="22"/>
                <w:szCs w:val="22"/>
              </w:rPr>
            </w:pPr>
          </w:p>
          <w:p w14:paraId="20FE09A4" w14:textId="77777777" w:rsidR="00943800" w:rsidRDefault="00B53D17">
            <w:r>
              <w:t xml:space="preserve">Where a candidate or group of candidates is/are eligible for special </w:t>
            </w:r>
            <w:r>
              <w:t>consideration applications are submitted to the relevant awarding body following the published processes.</w:t>
            </w:r>
          </w:p>
          <w:p w14:paraId="4CC49199" w14:textId="77777777" w:rsidR="00943800" w:rsidRDefault="00943800">
            <w:pPr>
              <w:rPr>
                <w:rStyle w:val="Hyperlink"/>
                <w:rFonts w:cs="Arial"/>
              </w:rPr>
            </w:pPr>
          </w:p>
          <w:p w14:paraId="2C127D30" w14:textId="77777777" w:rsidR="00943800" w:rsidRDefault="00B53D17">
            <w:pPr>
              <w:rPr>
                <w:rStyle w:val="Hyperlink"/>
                <w:rFonts w:cs="Arial"/>
                <w:color w:val="auto"/>
              </w:rPr>
            </w:pPr>
            <w:r>
              <w:rPr>
                <w:rStyle w:val="Hyperlink"/>
                <w:rFonts w:cs="Arial"/>
                <w:color w:val="auto"/>
              </w:rPr>
              <w:t>Evidence to support applications is kept on file until after the publication of results.</w:t>
            </w:r>
          </w:p>
          <w:p w14:paraId="5C5975C6" w14:textId="77777777" w:rsidR="00943800" w:rsidRDefault="00943800"/>
          <w:p w14:paraId="6F0816E0" w14:textId="77777777" w:rsidR="00943800" w:rsidRDefault="00B53D17">
            <w:pPr>
              <w:pStyle w:val="Heading3"/>
              <w:spacing w:before="0" w:line="276" w:lineRule="auto"/>
              <w:rPr>
                <w:rFonts w:asciiTheme="minorHAnsi" w:hAnsiTheme="minorHAnsi"/>
                <w:color w:val="auto"/>
                <w:sz w:val="22"/>
                <w:szCs w:val="22"/>
              </w:rPr>
            </w:pPr>
            <w:bookmarkStart w:id="3" w:name="_Toc465499782"/>
            <w:r>
              <w:rPr>
                <w:rFonts w:asciiTheme="minorHAnsi" w:hAnsiTheme="minorHAnsi"/>
                <w:color w:val="auto"/>
                <w:sz w:val="22"/>
                <w:szCs w:val="22"/>
              </w:rPr>
              <w:t>Timetabled written exams</w:t>
            </w:r>
            <w:bookmarkEnd w:id="3"/>
          </w:p>
          <w:p w14:paraId="2462896F" w14:textId="77777777" w:rsidR="00943800" w:rsidRDefault="00B53D17">
            <w:pPr>
              <w:pStyle w:val="ListParagraph"/>
              <w:numPr>
                <w:ilvl w:val="0"/>
                <w:numId w:val="45"/>
              </w:numPr>
              <w:spacing w:line="276" w:lineRule="auto"/>
              <w:rPr>
                <w:rFonts w:cs="Arial"/>
              </w:rPr>
            </w:pPr>
            <w:r>
              <w:rPr>
                <w:rFonts w:cs="Arial"/>
              </w:rPr>
              <w:t>For GCE and GCSE qualifications, applications for individual candidates are submitted online by logging into the relevant awarding body secure extranet site and following the links to special consideration.</w:t>
            </w:r>
          </w:p>
          <w:p w14:paraId="733F3D1D" w14:textId="77777777" w:rsidR="00943800" w:rsidRDefault="00B53D17">
            <w:pPr>
              <w:pStyle w:val="ListParagraph"/>
              <w:numPr>
                <w:ilvl w:val="0"/>
                <w:numId w:val="45"/>
              </w:numPr>
              <w:spacing w:line="276" w:lineRule="auto"/>
              <w:rPr>
                <w:rFonts w:cs="Arial"/>
              </w:rPr>
            </w:pPr>
            <w:r>
              <w:rPr>
                <w:rFonts w:cs="Arial"/>
              </w:rPr>
              <w:t xml:space="preserve">The awarding body processes for submitting a single application to cover all exams </w:t>
            </w:r>
            <w:r>
              <w:rPr>
                <w:rFonts w:cs="Arial"/>
                <w:i/>
                <w:color w:val="000000"/>
              </w:rPr>
              <w:t xml:space="preserve">where a candidate is present but disadvantaged </w:t>
            </w:r>
            <w:r>
              <w:rPr>
                <w:rFonts w:cs="Arial"/>
                <w:color w:val="000000"/>
              </w:rPr>
              <w:t xml:space="preserve">and a separate application for each day </w:t>
            </w:r>
            <w:r>
              <w:rPr>
                <w:rFonts w:cs="Arial"/>
                <w:i/>
                <w:color w:val="000000"/>
              </w:rPr>
              <w:t xml:space="preserve">where a candidate is absent from an examination for an acceptable reason </w:t>
            </w:r>
            <w:r>
              <w:rPr>
                <w:rFonts w:cs="Arial"/>
                <w:color w:val="000000"/>
              </w:rPr>
              <w:t xml:space="preserve">detailed </w:t>
            </w:r>
            <w:r>
              <w:rPr>
                <w:rFonts w:cs="Arial"/>
                <w:bCs/>
              </w:rPr>
              <w:t>are followed.</w:t>
            </w:r>
          </w:p>
          <w:p w14:paraId="5C1880E9" w14:textId="77777777" w:rsidR="00943800" w:rsidRDefault="00B53D17">
            <w:pPr>
              <w:pStyle w:val="ListParagraph"/>
              <w:numPr>
                <w:ilvl w:val="0"/>
                <w:numId w:val="46"/>
              </w:numPr>
              <w:spacing w:line="276" w:lineRule="auto"/>
              <w:rPr>
                <w:rFonts w:cs="Arial"/>
              </w:rPr>
            </w:pPr>
            <w:r>
              <w:rPr>
                <w:rFonts w:cs="Arial"/>
              </w:rPr>
              <w:t>For other qualifications, applications will be submitted online where the awarding body’s secure system accepts these.</w:t>
            </w:r>
          </w:p>
          <w:p w14:paraId="331662C1" w14:textId="77777777" w:rsidR="00943800" w:rsidRDefault="00B53D17">
            <w:pPr>
              <w:pStyle w:val="ListParagraph"/>
              <w:numPr>
                <w:ilvl w:val="0"/>
                <w:numId w:val="46"/>
              </w:numPr>
              <w:spacing w:line="276" w:lineRule="auto"/>
              <w:rPr>
                <w:rFonts w:cs="Arial"/>
              </w:rPr>
            </w:pPr>
            <w:r>
              <w:rPr>
                <w:rFonts w:cs="Arial"/>
              </w:rPr>
              <w:lastRenderedPageBreak/>
              <w:t xml:space="preserve">The paper </w:t>
            </w:r>
            <w:hyperlink r:id="rId8" w:history="1">
              <w:r>
                <w:rPr>
                  <w:rStyle w:val="Hyperlink"/>
                  <w:rFonts w:cs="Arial"/>
                  <w:color w:val="auto"/>
                  <w:u w:val="none"/>
                </w:rPr>
                <w:t>form 10</w:t>
              </w:r>
            </w:hyperlink>
            <w:r>
              <w:rPr>
                <w:rFonts w:cs="Arial"/>
              </w:rPr>
              <w:t xml:space="preserve"> JCQ/SC </w:t>
            </w:r>
            <w:r>
              <w:rPr>
                <w:rFonts w:cs="Arial"/>
                <w:i/>
              </w:rPr>
              <w:t xml:space="preserve">Application for special consideration </w:t>
            </w:r>
            <w:r>
              <w:rPr>
                <w:rFonts w:cs="Arial"/>
              </w:rPr>
              <w:t xml:space="preserve">is </w:t>
            </w:r>
            <w:r>
              <w:rPr>
                <w:rFonts w:cs="Arial"/>
                <w:u w:val="single"/>
              </w:rPr>
              <w:t>only</w:t>
            </w:r>
            <w:r>
              <w:rPr>
                <w:rFonts w:cs="Arial"/>
              </w:rPr>
              <w:t xml:space="preserve"> completed and submitted where the online system does not accept applications for a particular qualification.</w:t>
            </w:r>
          </w:p>
          <w:p w14:paraId="7CD76678" w14:textId="77777777" w:rsidR="00943800" w:rsidRDefault="00B53D17">
            <w:pPr>
              <w:pStyle w:val="ListParagraph"/>
              <w:numPr>
                <w:ilvl w:val="0"/>
                <w:numId w:val="46"/>
              </w:numPr>
              <w:spacing w:line="276" w:lineRule="auto"/>
              <w:rPr>
                <w:rFonts w:cs="Arial"/>
                <w:bCs/>
              </w:rPr>
            </w:pPr>
            <w:r>
              <w:rPr>
                <w:rFonts w:cs="Arial"/>
                <w:bCs/>
                <w:color w:val="000000"/>
              </w:rPr>
              <w:t xml:space="preserve">For groups of candidates, applications are made online where the awarding body’s secure system accepts group applications or form 10 will be completed. </w:t>
            </w:r>
          </w:p>
          <w:p w14:paraId="6E82FA0F" w14:textId="77777777" w:rsidR="00943800" w:rsidRDefault="00B53D17">
            <w:pPr>
              <w:pStyle w:val="ListParagraph"/>
              <w:numPr>
                <w:ilvl w:val="0"/>
                <w:numId w:val="46"/>
              </w:numPr>
              <w:spacing w:line="276" w:lineRule="auto"/>
              <w:rPr>
                <w:rFonts w:cs="Arial"/>
              </w:rPr>
            </w:pPr>
            <w:r>
              <w:t xml:space="preserve">The paper </w:t>
            </w:r>
            <w:hyperlink r:id="rId9" w:history="1">
              <w:r>
                <w:rPr>
                  <w:rStyle w:val="Hyperlink"/>
                  <w:rFonts w:cs="Arial"/>
                  <w:color w:val="auto"/>
                  <w:u w:val="none"/>
                </w:rPr>
                <w:t>form 14</w:t>
              </w:r>
            </w:hyperlink>
            <w:r>
              <w:t xml:space="preserve"> </w:t>
            </w:r>
            <w:r>
              <w:rPr>
                <w:rFonts w:cs="Arial"/>
                <w:color w:val="000000"/>
              </w:rPr>
              <w:t xml:space="preserve">JCQ/ME </w:t>
            </w:r>
            <w:r>
              <w:rPr>
                <w:rFonts w:cs="Arial"/>
                <w:i/>
                <w:color w:val="000000"/>
              </w:rPr>
              <w:t>Self certification for candidates who have missed an examination</w:t>
            </w:r>
            <w:r>
              <w:rPr>
                <w:rFonts w:cs="Arial"/>
                <w:color w:val="000000"/>
              </w:rPr>
              <w:t xml:space="preserve"> is </w:t>
            </w:r>
            <w:r>
              <w:rPr>
                <w:rFonts w:cs="Arial"/>
                <w:color w:val="000000"/>
                <w:u w:val="single"/>
              </w:rPr>
              <w:t>only</w:t>
            </w:r>
            <w:r>
              <w:rPr>
                <w:rFonts w:cs="Arial"/>
                <w:color w:val="000000"/>
              </w:rPr>
              <w:t xml:space="preserve"> completed by a candidate where circumstances warrant this and is not used where the centre knows the candidate was ill.</w:t>
            </w:r>
          </w:p>
          <w:p w14:paraId="31C00404" w14:textId="77777777" w:rsidR="00943800" w:rsidRDefault="00943800">
            <w:pPr>
              <w:pStyle w:val="Heading3"/>
              <w:spacing w:before="0" w:line="276" w:lineRule="auto"/>
              <w:rPr>
                <w:rFonts w:asciiTheme="minorHAnsi" w:hAnsiTheme="minorHAnsi"/>
                <w:sz w:val="22"/>
                <w:szCs w:val="22"/>
              </w:rPr>
            </w:pPr>
            <w:bookmarkStart w:id="4" w:name="_Toc465499783"/>
          </w:p>
          <w:p w14:paraId="2E66DCF4" w14:textId="77777777" w:rsidR="00943800" w:rsidRDefault="00B53D17">
            <w:pPr>
              <w:pStyle w:val="Heading3"/>
              <w:spacing w:before="0" w:line="276" w:lineRule="auto"/>
              <w:rPr>
                <w:rFonts w:asciiTheme="minorHAnsi" w:hAnsiTheme="minorHAnsi"/>
                <w:sz w:val="22"/>
                <w:szCs w:val="22"/>
              </w:rPr>
            </w:pPr>
            <w:r>
              <w:rPr>
                <w:rFonts w:asciiTheme="minorHAnsi" w:hAnsiTheme="minorHAnsi"/>
                <w:sz w:val="22"/>
                <w:szCs w:val="22"/>
              </w:rPr>
              <w:t>Internally assessed work</w:t>
            </w:r>
            <w:bookmarkEnd w:id="4"/>
          </w:p>
          <w:p w14:paraId="3B374BC4" w14:textId="77777777" w:rsidR="00943800" w:rsidRDefault="00B53D17">
            <w:pPr>
              <w:pStyle w:val="ListParagraph"/>
              <w:numPr>
                <w:ilvl w:val="0"/>
                <w:numId w:val="47"/>
              </w:numPr>
              <w:spacing w:line="276" w:lineRule="auto"/>
              <w:rPr>
                <w:rFonts w:cs="Arial"/>
                <w:bCs/>
              </w:rPr>
            </w:pPr>
            <w:r>
              <w:rPr>
                <w:rFonts w:cs="Arial"/>
                <w:bCs/>
                <w:color w:val="000000"/>
              </w:rPr>
              <w:t>Where appropriate, applications are made online where the awarding body’s secure system accepts them or form 10 is completed and submitted.</w:t>
            </w:r>
          </w:p>
          <w:p w14:paraId="536270D9" w14:textId="77777777" w:rsidR="00943800" w:rsidRDefault="00B53D17">
            <w:pPr>
              <w:pStyle w:val="ListParagraph"/>
              <w:numPr>
                <w:ilvl w:val="0"/>
                <w:numId w:val="47"/>
              </w:numPr>
              <w:spacing w:line="276" w:lineRule="auto"/>
              <w:rPr>
                <w:rFonts w:cs="Arial"/>
                <w:bCs/>
              </w:rPr>
            </w:pPr>
            <w:r>
              <w:rPr>
                <w:rFonts w:cs="Arial"/>
                <w:bCs/>
                <w:color w:val="000000"/>
              </w:rPr>
              <w:t xml:space="preserve">Where a short extension to a deadline is being requested an application is </w:t>
            </w:r>
            <w:r>
              <w:t>submitted online or by direct email, dependent on the awarding body.</w:t>
            </w:r>
          </w:p>
          <w:p w14:paraId="02901C16" w14:textId="77777777" w:rsidR="00943800" w:rsidRDefault="00B53D17">
            <w:pPr>
              <w:pStyle w:val="ListParagraph"/>
              <w:numPr>
                <w:ilvl w:val="0"/>
                <w:numId w:val="47"/>
              </w:numPr>
              <w:spacing w:line="276" w:lineRule="auto"/>
              <w:rPr>
                <w:rFonts w:cs="Arial"/>
                <w:bCs/>
              </w:rPr>
            </w:pPr>
            <w:r>
              <w:t xml:space="preserve">Where an application relates to a shortfall in work, this is submitted online or by completing </w:t>
            </w:r>
            <w:r>
              <w:rPr>
                <w:rFonts w:cs="Arial"/>
                <w:bCs/>
                <w:color w:val="000000"/>
              </w:rPr>
              <w:t>form 10</w:t>
            </w:r>
            <w:r>
              <w:t>, dependent on the awarding body.</w:t>
            </w:r>
          </w:p>
          <w:p w14:paraId="6D923701" w14:textId="77777777" w:rsidR="00943800" w:rsidRDefault="00B53D17">
            <w:pPr>
              <w:pStyle w:val="ListParagraph"/>
              <w:numPr>
                <w:ilvl w:val="0"/>
                <w:numId w:val="47"/>
              </w:numPr>
              <w:spacing w:line="276" w:lineRule="auto"/>
              <w:rPr>
                <w:rFonts w:cs="Arial"/>
                <w:bCs/>
              </w:rPr>
            </w:pPr>
            <w:r>
              <w:t xml:space="preserve">Where an application relates to lost or damaged work, this is submitted online or by completing </w:t>
            </w:r>
            <w:hyperlink r:id="rId10" w:history="1">
              <w:r>
                <w:rPr>
                  <w:rStyle w:val="Hyperlink"/>
                  <w:rFonts w:cs="Arial"/>
                  <w:color w:val="auto"/>
                  <w:u w:val="none"/>
                </w:rPr>
                <w:t>form 15</w:t>
              </w:r>
            </w:hyperlink>
            <w:r>
              <w:rPr>
                <w:rFonts w:cs="Arial"/>
              </w:rPr>
              <w:t xml:space="preserve"> JCQ/LCW </w:t>
            </w:r>
            <w:r>
              <w:rPr>
                <w:rFonts w:cs="Arial"/>
                <w:i/>
              </w:rPr>
              <w:t>Notification of lost centre assessed work</w:t>
            </w:r>
            <w:r>
              <w:t>, dependent on the awarding body.</w:t>
            </w:r>
          </w:p>
          <w:p w14:paraId="1D55185B" w14:textId="77777777" w:rsidR="00943800" w:rsidRDefault="00943800">
            <w:pPr>
              <w:pStyle w:val="Heading3"/>
              <w:spacing w:before="0" w:line="276" w:lineRule="auto"/>
              <w:rPr>
                <w:rFonts w:asciiTheme="minorHAnsi" w:eastAsiaTheme="minorHAnsi" w:hAnsiTheme="minorHAnsi"/>
                <w:sz w:val="22"/>
                <w:szCs w:val="22"/>
              </w:rPr>
            </w:pPr>
            <w:bookmarkStart w:id="5" w:name="_Toc465499784"/>
          </w:p>
          <w:p w14:paraId="64941055" w14:textId="77777777" w:rsidR="00943800" w:rsidRDefault="00B53D17">
            <w:pPr>
              <w:pStyle w:val="Heading3"/>
              <w:spacing w:before="0" w:line="276" w:lineRule="auto"/>
              <w:rPr>
                <w:rFonts w:asciiTheme="minorHAnsi" w:eastAsiaTheme="minorHAnsi" w:hAnsiTheme="minorHAnsi"/>
                <w:sz w:val="22"/>
                <w:szCs w:val="22"/>
              </w:rPr>
            </w:pPr>
            <w:r>
              <w:rPr>
                <w:rFonts w:asciiTheme="minorHAnsi" w:eastAsiaTheme="minorHAnsi" w:hAnsiTheme="minorHAnsi"/>
                <w:sz w:val="22"/>
                <w:szCs w:val="22"/>
              </w:rPr>
              <w:t xml:space="preserve">Post assessment adjustments – vocational </w:t>
            </w:r>
            <w:r>
              <w:rPr>
                <w:rFonts w:asciiTheme="minorHAnsi" w:eastAsiaTheme="minorHAnsi" w:hAnsiTheme="minorHAnsi"/>
                <w:sz w:val="22"/>
                <w:szCs w:val="22"/>
              </w:rPr>
              <w:t>qualifications</w:t>
            </w:r>
            <w:bookmarkEnd w:id="5"/>
          </w:p>
          <w:p w14:paraId="1F436C57" w14:textId="77777777" w:rsidR="00943800" w:rsidRDefault="00B53D17">
            <w:pPr>
              <w:pStyle w:val="ListParagraph"/>
              <w:numPr>
                <w:ilvl w:val="0"/>
                <w:numId w:val="47"/>
              </w:numPr>
              <w:spacing w:line="276" w:lineRule="auto"/>
              <w:rPr>
                <w:rFonts w:ascii="Calibri" w:hAnsi="Calibri" w:cs="Calibri"/>
                <w:color w:val="000000"/>
                <w:sz w:val="24"/>
                <w:szCs w:val="24"/>
              </w:rPr>
            </w:pPr>
            <w:r>
              <w:rPr>
                <w:rFonts w:cs="Arial"/>
              </w:rPr>
              <w:t xml:space="preserve">Where relevant and eligible, form </w:t>
            </w:r>
            <w:hyperlink r:id="rId11" w:history="1">
              <w:r>
                <w:rPr>
                  <w:rStyle w:val="Hyperlink"/>
                  <w:rFonts w:cs="Arial"/>
                  <w:color w:val="auto"/>
                  <w:u w:val="none"/>
                </w:rPr>
                <w:t>VQ/SC</w:t>
              </w:r>
            </w:hyperlink>
            <w:r>
              <w:t xml:space="preserve"> </w:t>
            </w:r>
            <w:r>
              <w:rPr>
                <w:rFonts w:cs="Arial"/>
                <w:i/>
              </w:rPr>
              <w:t xml:space="preserve">Application for special consideration Vocational qualifications </w:t>
            </w:r>
            <w:r>
              <w:rPr>
                <w:rFonts w:cs="Arial"/>
              </w:rPr>
              <w:t>is completed and submitted to the awarding body.</w:t>
            </w:r>
          </w:p>
        </w:tc>
      </w:tr>
    </w:tbl>
    <w:p w14:paraId="2E7F1125" w14:textId="77777777" w:rsidR="00943800" w:rsidRDefault="00943800"/>
    <w:tbl>
      <w:tblPr>
        <w:tblStyle w:val="TableGrid"/>
        <w:tblW w:w="9338" w:type="dxa"/>
        <w:tblLook w:val="04A0" w:firstRow="1" w:lastRow="0" w:firstColumn="1" w:lastColumn="0" w:noHBand="0" w:noVBand="1"/>
      </w:tblPr>
      <w:tblGrid>
        <w:gridCol w:w="9338"/>
      </w:tblGrid>
      <w:tr w:rsidR="00943800" w14:paraId="28CE4B98" w14:textId="77777777">
        <w:trPr>
          <w:trHeight w:val="662"/>
        </w:trPr>
        <w:tc>
          <w:tcPr>
            <w:tcW w:w="9338" w:type="dxa"/>
            <w:shd w:val="clear" w:color="auto" w:fill="7030A0"/>
            <w:vAlign w:val="center"/>
          </w:tcPr>
          <w:p w14:paraId="5BC17C66" w14:textId="77777777" w:rsidR="00943800" w:rsidRDefault="00B53D17">
            <w:pPr>
              <w:rPr>
                <w:color w:val="FFFFFF" w:themeColor="background1"/>
                <w:sz w:val="44"/>
                <w:szCs w:val="44"/>
              </w:rPr>
            </w:pPr>
            <w:r>
              <w:rPr>
                <w:color w:val="FFFFFF" w:themeColor="background1"/>
                <w:sz w:val="44"/>
                <w:szCs w:val="44"/>
              </w:rPr>
              <w:t>Other Policies/Documents:</w:t>
            </w:r>
          </w:p>
        </w:tc>
      </w:tr>
      <w:tr w:rsidR="00943800" w14:paraId="61F187B7" w14:textId="77777777">
        <w:trPr>
          <w:trHeight w:val="1122"/>
        </w:trPr>
        <w:tc>
          <w:tcPr>
            <w:tcW w:w="9338" w:type="dxa"/>
          </w:tcPr>
          <w:p w14:paraId="0D36C756" w14:textId="77777777" w:rsidR="00943800" w:rsidRDefault="00943800">
            <w:pPr>
              <w:autoSpaceDE w:val="0"/>
              <w:autoSpaceDN w:val="0"/>
              <w:adjustRightInd w:val="0"/>
              <w:rPr>
                <w:rFonts w:ascii="Calibri" w:hAnsi="Calibri" w:cs="Calibri"/>
                <w:color w:val="000000"/>
                <w:sz w:val="24"/>
                <w:szCs w:val="24"/>
              </w:rPr>
            </w:pPr>
          </w:p>
          <w:p w14:paraId="0989DBCD" w14:textId="77777777" w:rsidR="00943800" w:rsidRDefault="00B53D17">
            <w:pPr>
              <w:autoSpaceDE w:val="0"/>
              <w:autoSpaceDN w:val="0"/>
              <w:adjustRightInd w:val="0"/>
              <w:rPr>
                <w:rFonts w:cs="Calibri"/>
                <w:color w:val="000000"/>
                <w:sz w:val="24"/>
                <w:szCs w:val="24"/>
              </w:rPr>
            </w:pPr>
            <w:r>
              <w:rPr>
                <w:rFonts w:cs="Calibri"/>
                <w:color w:val="000000"/>
                <w:sz w:val="24"/>
                <w:szCs w:val="24"/>
              </w:rPr>
              <w:t>This Policy should be read in conjunction with the following Policies/documents:</w:t>
            </w:r>
          </w:p>
          <w:p w14:paraId="08C20BBC" w14:textId="77777777" w:rsidR="00943800" w:rsidRDefault="00943800">
            <w:pPr>
              <w:autoSpaceDE w:val="0"/>
              <w:autoSpaceDN w:val="0"/>
              <w:adjustRightInd w:val="0"/>
              <w:rPr>
                <w:rFonts w:cs="Calibri"/>
                <w:color w:val="000000"/>
                <w:sz w:val="24"/>
                <w:szCs w:val="24"/>
              </w:rPr>
            </w:pPr>
          </w:p>
          <w:p w14:paraId="1748F0FC" w14:textId="77777777" w:rsidR="00943800" w:rsidRDefault="00B53D17">
            <w:pPr>
              <w:pStyle w:val="ListParagraph"/>
              <w:numPr>
                <w:ilvl w:val="0"/>
                <w:numId w:val="39"/>
              </w:numPr>
              <w:rPr>
                <w:sz w:val="24"/>
                <w:szCs w:val="24"/>
              </w:rPr>
            </w:pPr>
            <w:r>
              <w:rPr>
                <w:sz w:val="24"/>
                <w:szCs w:val="24"/>
              </w:rPr>
              <w:t>Policy for Controlled Assessment &amp; Internal Assessment Decisions</w:t>
            </w:r>
          </w:p>
          <w:p w14:paraId="6451A42C" w14:textId="77777777" w:rsidR="00943800" w:rsidRDefault="00B53D17">
            <w:pPr>
              <w:pStyle w:val="ListParagraph"/>
              <w:numPr>
                <w:ilvl w:val="0"/>
                <w:numId w:val="39"/>
              </w:numPr>
              <w:rPr>
                <w:sz w:val="24"/>
                <w:szCs w:val="24"/>
              </w:rPr>
            </w:pPr>
            <w:r>
              <w:rPr>
                <w:sz w:val="24"/>
                <w:szCs w:val="24"/>
              </w:rPr>
              <w:t>Late Arrival to Exams Policy</w:t>
            </w:r>
          </w:p>
          <w:p w14:paraId="2B1427C4"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Early Examination Entry Policy</w:t>
            </w:r>
          </w:p>
          <w:p w14:paraId="3F4666BD"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 xml:space="preserve">Staff Malpractice (Controlled Assessment) Policy </w:t>
            </w:r>
          </w:p>
          <w:p w14:paraId="0AE04704"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Risk Management</w:t>
            </w:r>
          </w:p>
          <w:p w14:paraId="59111C93"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Internal Appeals Procedures Policy</w:t>
            </w:r>
          </w:p>
          <w:p w14:paraId="00820F1E"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 xml:space="preserve">Exams Archiving Policy </w:t>
            </w:r>
          </w:p>
          <w:p w14:paraId="188AB1F7"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 xml:space="preserve">Disability Policy </w:t>
            </w:r>
          </w:p>
          <w:p w14:paraId="1BDA0FD3"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 xml:space="preserve">Management of Non-Examination Assessments Policy </w:t>
            </w:r>
          </w:p>
          <w:p w14:paraId="179DCE62"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 xml:space="preserve">Exams Policy </w:t>
            </w:r>
          </w:p>
          <w:p w14:paraId="1C0354B1" w14:textId="77777777" w:rsidR="00943800" w:rsidRDefault="00B53D17">
            <w:pPr>
              <w:pStyle w:val="ListParagraph"/>
              <w:numPr>
                <w:ilvl w:val="0"/>
                <w:numId w:val="39"/>
              </w:numPr>
              <w:autoSpaceDE w:val="0"/>
              <w:autoSpaceDN w:val="0"/>
              <w:adjustRightInd w:val="0"/>
              <w:rPr>
                <w:rFonts w:cs="Calibri"/>
                <w:color w:val="000000"/>
                <w:sz w:val="24"/>
                <w:szCs w:val="24"/>
              </w:rPr>
            </w:pPr>
            <w:r>
              <w:rPr>
                <w:rFonts w:cs="Calibri"/>
                <w:color w:val="000000"/>
                <w:sz w:val="24"/>
                <w:szCs w:val="24"/>
              </w:rPr>
              <w:t>Exams Contingency Policy</w:t>
            </w:r>
          </w:p>
          <w:p w14:paraId="46D4C648" w14:textId="77777777" w:rsidR="00943800" w:rsidRDefault="00B53D17">
            <w:pPr>
              <w:pStyle w:val="ListParagraph"/>
              <w:numPr>
                <w:ilvl w:val="0"/>
                <w:numId w:val="39"/>
              </w:numPr>
              <w:autoSpaceDE w:val="0"/>
              <w:autoSpaceDN w:val="0"/>
              <w:adjustRightInd w:val="0"/>
              <w:spacing w:line="276" w:lineRule="auto"/>
              <w:rPr>
                <w:rFonts w:cs="Arial"/>
              </w:rPr>
            </w:pPr>
            <w:r>
              <w:rPr>
                <w:rFonts w:cs="Calibri"/>
                <w:color w:val="000000"/>
                <w:sz w:val="24"/>
                <w:szCs w:val="24"/>
              </w:rPr>
              <w:t>Access Arrangements Policy</w:t>
            </w:r>
          </w:p>
          <w:p w14:paraId="6BC78E49" w14:textId="77777777" w:rsidR="00943800" w:rsidRDefault="00B53D17">
            <w:pPr>
              <w:pStyle w:val="ListParagraph"/>
              <w:numPr>
                <w:ilvl w:val="0"/>
                <w:numId w:val="39"/>
              </w:numPr>
              <w:autoSpaceDE w:val="0"/>
              <w:autoSpaceDN w:val="0"/>
              <w:adjustRightInd w:val="0"/>
              <w:spacing w:line="276" w:lineRule="auto"/>
              <w:rPr>
                <w:rFonts w:cs="Arial"/>
              </w:rPr>
            </w:pPr>
            <w:r>
              <w:rPr>
                <w:rFonts w:cs="Calibri"/>
                <w:color w:val="000000"/>
                <w:sz w:val="24"/>
                <w:szCs w:val="24"/>
              </w:rPr>
              <w:lastRenderedPageBreak/>
              <w:t>Emergency Evacuation Policy</w:t>
            </w:r>
          </w:p>
          <w:p w14:paraId="61AA6BAC" w14:textId="77777777" w:rsidR="00943800" w:rsidRDefault="00943800">
            <w:pPr>
              <w:pStyle w:val="ListParagraph"/>
              <w:autoSpaceDE w:val="0"/>
              <w:autoSpaceDN w:val="0"/>
              <w:adjustRightInd w:val="0"/>
              <w:rPr>
                <w:rFonts w:ascii="Calibri" w:hAnsi="Calibri" w:cs="Calibri"/>
                <w:color w:val="000000"/>
                <w:sz w:val="24"/>
                <w:szCs w:val="24"/>
              </w:rPr>
            </w:pPr>
          </w:p>
        </w:tc>
      </w:tr>
    </w:tbl>
    <w:p w14:paraId="09F05658" w14:textId="77777777" w:rsidR="00943800" w:rsidRDefault="00943800"/>
    <w:sectPr w:rsidR="0094380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5FA9B" w14:textId="77777777" w:rsidR="00943800" w:rsidRDefault="00B53D17">
      <w:pPr>
        <w:spacing w:after="0" w:line="240" w:lineRule="auto"/>
      </w:pPr>
      <w:r>
        <w:separator/>
      </w:r>
    </w:p>
  </w:endnote>
  <w:endnote w:type="continuationSeparator" w:id="0">
    <w:p w14:paraId="450E39E2" w14:textId="77777777" w:rsidR="00943800" w:rsidRDefault="00B53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75A54" w14:textId="77777777" w:rsidR="00943800" w:rsidRDefault="009438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931145"/>
      <w:docPartObj>
        <w:docPartGallery w:val="Page Numbers (Bottom of Page)"/>
        <w:docPartUnique/>
      </w:docPartObj>
    </w:sdtPr>
    <w:sdtEndPr>
      <w:rPr>
        <w:noProof/>
      </w:rPr>
    </w:sdtEndPr>
    <w:sdtContent>
      <w:p w14:paraId="474FA338" w14:textId="77777777" w:rsidR="00943800" w:rsidRDefault="00B53D17">
        <w:pPr>
          <w:pStyle w:val="Footer"/>
          <w:pBdr>
            <w:top w:val="single" w:sz="4" w:space="1" w:color="auto"/>
          </w:pBdr>
          <w:jc w:val="right"/>
        </w:pPr>
        <w:r>
          <w:fldChar w:fldCharType="begin"/>
        </w:r>
        <w:r>
          <w:instrText xml:space="preserve"> PAGE   \* MERGEFORMAT </w:instrText>
        </w:r>
        <w:r>
          <w:fldChar w:fldCharType="separate"/>
        </w:r>
        <w:r>
          <w:rPr>
            <w:noProof/>
          </w:rPr>
          <w:t>2</w:t>
        </w:r>
        <w:r>
          <w:rPr>
            <w:noProof/>
          </w:rPr>
          <w:fldChar w:fldCharType="end"/>
        </w:r>
      </w:p>
    </w:sdtContent>
  </w:sdt>
  <w:p w14:paraId="55358598" w14:textId="77777777" w:rsidR="00943800" w:rsidRDefault="009438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B5A97" w14:textId="77777777" w:rsidR="00943800" w:rsidRDefault="009438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9A6EF" w14:textId="77777777" w:rsidR="00943800" w:rsidRDefault="00B53D17">
      <w:pPr>
        <w:spacing w:after="0" w:line="240" w:lineRule="auto"/>
      </w:pPr>
      <w:r>
        <w:separator/>
      </w:r>
    </w:p>
  </w:footnote>
  <w:footnote w:type="continuationSeparator" w:id="0">
    <w:p w14:paraId="2D970E5E" w14:textId="77777777" w:rsidR="00943800" w:rsidRDefault="00B53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80D2A" w14:textId="77777777" w:rsidR="00943800" w:rsidRDefault="009438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0F144" w14:textId="77777777" w:rsidR="00943800" w:rsidRDefault="00B53D17">
    <w:pPr>
      <w:pStyle w:val="Header"/>
    </w:pPr>
    <w:r>
      <w:rPr>
        <w:noProof/>
        <w:lang w:eastAsia="en-GB"/>
      </w:rPr>
      <w:drawing>
        <wp:inline distT="0" distB="0" distL="0" distR="0" wp14:anchorId="3DE677CF" wp14:editId="4D8F1551">
          <wp:extent cx="1802765" cy="810895"/>
          <wp:effectExtent l="0" t="0" r="6985" b="8255"/>
          <wp:docPr id="4" name="Picture 4" descr="\\staff\Documents$\avril.harrison\Desktop\DS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ff\Documents$\avril.harrison\Desktop\DSS Colour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765" cy="810895"/>
                  </a:xfrm>
                  <a:prstGeom prst="rect">
                    <a:avLst/>
                  </a:prstGeom>
                  <a:noFill/>
                  <a:ln>
                    <a:noFill/>
                  </a:ln>
                </pic:spPr>
              </pic:pic>
            </a:graphicData>
          </a:graphic>
        </wp:inline>
      </w:drawing>
    </w:r>
  </w:p>
  <w:p w14:paraId="66B497EA" w14:textId="77777777" w:rsidR="00943800" w:rsidRDefault="00943800">
    <w:pPr>
      <w:pStyle w:val="Header"/>
      <w:pBdr>
        <w:bottom w:val="single" w:sz="4" w:space="1" w:color="auto"/>
      </w:pBdr>
    </w:pPr>
  </w:p>
  <w:p w14:paraId="3934E086" w14:textId="77777777" w:rsidR="00943800" w:rsidRDefault="009438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15020" w14:textId="77777777" w:rsidR="00943800" w:rsidRDefault="009438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4038"/>
    <w:multiLevelType w:val="hybridMultilevel"/>
    <w:tmpl w:val="6B40D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16B7A"/>
    <w:multiLevelType w:val="hybridMultilevel"/>
    <w:tmpl w:val="0DB4FA5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148B6"/>
    <w:multiLevelType w:val="multilevel"/>
    <w:tmpl w:val="574C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45EB8"/>
    <w:multiLevelType w:val="hybridMultilevel"/>
    <w:tmpl w:val="03E00C26"/>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60028CF"/>
    <w:multiLevelType w:val="multilevel"/>
    <w:tmpl w:val="ACD4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A7DD5"/>
    <w:multiLevelType w:val="multilevel"/>
    <w:tmpl w:val="62060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092B03"/>
    <w:multiLevelType w:val="hybridMultilevel"/>
    <w:tmpl w:val="A22600F6"/>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114BB0"/>
    <w:multiLevelType w:val="hybridMultilevel"/>
    <w:tmpl w:val="3A18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B7504B"/>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6D0C1D"/>
    <w:multiLevelType w:val="hybridMultilevel"/>
    <w:tmpl w:val="D7E89284"/>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86BC6"/>
    <w:multiLevelType w:val="hybridMultilevel"/>
    <w:tmpl w:val="9680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A1E4F"/>
    <w:multiLevelType w:val="hybridMultilevel"/>
    <w:tmpl w:val="03960250"/>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3CB3861"/>
    <w:multiLevelType w:val="hybridMultilevel"/>
    <w:tmpl w:val="63FE6378"/>
    <w:lvl w:ilvl="0" w:tplc="784674C4">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3F56DFB"/>
    <w:multiLevelType w:val="hybridMultilevel"/>
    <w:tmpl w:val="2CF2B684"/>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F918B8"/>
    <w:multiLevelType w:val="multilevel"/>
    <w:tmpl w:val="C814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526C3F"/>
    <w:multiLevelType w:val="hybridMultilevel"/>
    <w:tmpl w:val="EE08315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23F2D"/>
    <w:multiLevelType w:val="hybridMultilevel"/>
    <w:tmpl w:val="C7B8600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752E9"/>
    <w:multiLevelType w:val="hybridMultilevel"/>
    <w:tmpl w:val="F3CC65BE"/>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262B0"/>
    <w:multiLevelType w:val="hybridMultilevel"/>
    <w:tmpl w:val="2A6E2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205704"/>
    <w:multiLevelType w:val="multilevel"/>
    <w:tmpl w:val="1A660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359DD"/>
    <w:multiLevelType w:val="hybridMultilevel"/>
    <w:tmpl w:val="9DAE84C8"/>
    <w:lvl w:ilvl="0" w:tplc="784674C4">
      <w:start w:val="8"/>
      <w:numFmt w:val="bullet"/>
      <w:lvlText w:val="•"/>
      <w:lvlJc w:val="left"/>
      <w:pPr>
        <w:ind w:left="720" w:hanging="360"/>
      </w:pPr>
      <w:rPr>
        <w:rFonts w:ascii="Calibri" w:eastAsiaTheme="minorHAnsi" w:hAnsi="Calibri" w:cs="Calibri" w:hint="default"/>
      </w:rPr>
    </w:lvl>
    <w:lvl w:ilvl="1" w:tplc="156C0F6E">
      <w:start w:val="4"/>
      <w:numFmt w:val="bullet"/>
      <w:lvlText w:val="·"/>
      <w:lvlJc w:val="left"/>
      <w:pPr>
        <w:ind w:left="1440" w:hanging="360"/>
      </w:pPr>
      <w:rPr>
        <w:rFonts w:ascii="Calibri" w:eastAsiaTheme="minorHAnsi" w:hAnsi="Calibri"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EA4339"/>
    <w:multiLevelType w:val="hybridMultilevel"/>
    <w:tmpl w:val="5D306E3C"/>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B92A77"/>
    <w:multiLevelType w:val="multilevel"/>
    <w:tmpl w:val="AD20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C30D3A"/>
    <w:multiLevelType w:val="hybridMultilevel"/>
    <w:tmpl w:val="4288BFA6"/>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9B672D"/>
    <w:multiLevelType w:val="hybridMultilevel"/>
    <w:tmpl w:val="EC3C4E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0124AA"/>
    <w:multiLevelType w:val="hybridMultilevel"/>
    <w:tmpl w:val="AB324EDE"/>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9B2B91"/>
    <w:multiLevelType w:val="hybridMultilevel"/>
    <w:tmpl w:val="2FE4BE80"/>
    <w:lvl w:ilvl="0" w:tplc="A330F1F6">
      <w:start w:val="1"/>
      <w:numFmt w:val="bullet"/>
      <w:lvlText w:val=""/>
      <w:lvlJc w:val="left"/>
      <w:pPr>
        <w:ind w:left="720" w:hanging="360"/>
      </w:pPr>
      <w:rPr>
        <w:rFonts w:ascii="Symbol" w:hAnsi="Symbol" w:hint="default"/>
        <w:color w:val="0000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C55680"/>
    <w:multiLevelType w:val="hybridMultilevel"/>
    <w:tmpl w:val="64C8EB80"/>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3156E5"/>
    <w:multiLevelType w:val="hybridMultilevel"/>
    <w:tmpl w:val="BD82C6D6"/>
    <w:lvl w:ilvl="0" w:tplc="A330F1F6">
      <w:start w:val="1"/>
      <w:numFmt w:val="bullet"/>
      <w:lvlText w:val=""/>
      <w:lvlJc w:val="left"/>
      <w:pPr>
        <w:ind w:left="720" w:hanging="360"/>
      </w:pPr>
      <w:rPr>
        <w:rFonts w:ascii="Symbol" w:hAnsi="Symbol" w:hint="default"/>
        <w:color w:val="0000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1050C2"/>
    <w:multiLevelType w:val="multilevel"/>
    <w:tmpl w:val="E59E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D84F4A"/>
    <w:multiLevelType w:val="hybridMultilevel"/>
    <w:tmpl w:val="01521628"/>
    <w:lvl w:ilvl="0" w:tplc="53A8BB32">
      <w:start w:val="1"/>
      <w:numFmt w:val="bullet"/>
      <w:lvlText w:val=""/>
      <w:lvlJc w:val="left"/>
      <w:pPr>
        <w:ind w:left="720" w:hanging="360"/>
      </w:pPr>
      <w:rPr>
        <w:rFonts w:ascii="Symbol" w:hAnsi="Symbol" w:hint="default"/>
        <w:color w:val="003399"/>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9B49FB"/>
    <w:multiLevelType w:val="hybridMultilevel"/>
    <w:tmpl w:val="EACADCE2"/>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305665"/>
    <w:multiLevelType w:val="hybridMultilevel"/>
    <w:tmpl w:val="6BAABAF0"/>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BB73EBB"/>
    <w:multiLevelType w:val="hybridMultilevel"/>
    <w:tmpl w:val="8F4CF078"/>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C5504D9"/>
    <w:multiLevelType w:val="hybridMultilevel"/>
    <w:tmpl w:val="FB94E75C"/>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EC1647"/>
    <w:multiLevelType w:val="hybridMultilevel"/>
    <w:tmpl w:val="CA4EA39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D4B3F5E"/>
    <w:multiLevelType w:val="hybridMultilevel"/>
    <w:tmpl w:val="AC920B46"/>
    <w:lvl w:ilvl="0" w:tplc="09125FD0">
      <w:start w:val="1"/>
      <w:numFmt w:val="bullet"/>
      <w:lvlText w:val=""/>
      <w:lvlJc w:val="left"/>
      <w:pPr>
        <w:ind w:left="1080" w:hanging="360"/>
      </w:pPr>
      <w:rPr>
        <w:rFonts w:ascii="Symbol" w:hAnsi="Symbol" w:hint="default"/>
        <w:color w:val="FF3300"/>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7" w15:restartNumberingAfterBreak="0">
    <w:nsid w:val="621F009E"/>
    <w:multiLevelType w:val="hybridMultilevel"/>
    <w:tmpl w:val="C8F01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D975BC"/>
    <w:multiLevelType w:val="hybridMultilevel"/>
    <w:tmpl w:val="DAE2C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5A4174"/>
    <w:multiLevelType w:val="hybridMultilevel"/>
    <w:tmpl w:val="FEC44246"/>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F45DA8"/>
    <w:multiLevelType w:val="hybridMultilevel"/>
    <w:tmpl w:val="42C84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CD2825"/>
    <w:multiLevelType w:val="hybridMultilevel"/>
    <w:tmpl w:val="91BC50DA"/>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67964086"/>
    <w:multiLevelType w:val="hybridMultilevel"/>
    <w:tmpl w:val="2B4A131A"/>
    <w:lvl w:ilvl="0" w:tplc="A330F1F6">
      <w:start w:val="1"/>
      <w:numFmt w:val="bullet"/>
      <w:lvlText w:val=""/>
      <w:lvlJc w:val="left"/>
      <w:pPr>
        <w:ind w:left="720" w:hanging="360"/>
      </w:pPr>
      <w:rPr>
        <w:rFonts w:ascii="Symbol" w:hAnsi="Symbol" w:hint="default"/>
        <w:color w:val="0000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6ACC610A"/>
    <w:multiLevelType w:val="hybridMultilevel"/>
    <w:tmpl w:val="CA860028"/>
    <w:lvl w:ilvl="0" w:tplc="3126CC80">
      <w:start w:val="1"/>
      <w:numFmt w:val="bullet"/>
      <w:lvlText w:val=""/>
      <w:lvlJc w:val="left"/>
      <w:pPr>
        <w:ind w:left="720" w:hanging="360"/>
      </w:pPr>
      <w:rPr>
        <w:rFonts w:ascii="Symbol" w:hAnsi="Symbol" w:hint="default"/>
        <w:color w:val="00206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6BD40486"/>
    <w:multiLevelType w:val="multilevel"/>
    <w:tmpl w:val="79D8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D72F82"/>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2FE3EA8"/>
    <w:multiLevelType w:val="hybridMultilevel"/>
    <w:tmpl w:val="A95A4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A67A4A"/>
    <w:multiLevelType w:val="hybridMultilevel"/>
    <w:tmpl w:val="8F624606"/>
    <w:lvl w:ilvl="0" w:tplc="3126CC80">
      <w:start w:val="1"/>
      <w:numFmt w:val="bullet"/>
      <w:lvlText w:val=""/>
      <w:lvlJc w:val="left"/>
      <w:pPr>
        <w:ind w:left="720" w:hanging="360"/>
      </w:pPr>
      <w:rPr>
        <w:rFonts w:ascii="Symbol" w:hAnsi="Symbol" w:hint="default"/>
        <w:color w:val="002060"/>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907636">
    <w:abstractNumId w:val="27"/>
  </w:num>
  <w:num w:numId="2" w16cid:durableId="156462654">
    <w:abstractNumId w:val="25"/>
  </w:num>
  <w:num w:numId="3" w16cid:durableId="517432639">
    <w:abstractNumId w:val="21"/>
  </w:num>
  <w:num w:numId="4" w16cid:durableId="217859257">
    <w:abstractNumId w:val="31"/>
  </w:num>
  <w:num w:numId="5" w16cid:durableId="827130889">
    <w:abstractNumId w:val="12"/>
  </w:num>
  <w:num w:numId="6" w16cid:durableId="1562789972">
    <w:abstractNumId w:val="15"/>
  </w:num>
  <w:num w:numId="7" w16cid:durableId="24983131">
    <w:abstractNumId w:val="23"/>
  </w:num>
  <w:num w:numId="8" w16cid:durableId="1510170063">
    <w:abstractNumId w:val="20"/>
  </w:num>
  <w:num w:numId="9" w16cid:durableId="386414769">
    <w:abstractNumId w:val="18"/>
  </w:num>
  <w:num w:numId="10" w16cid:durableId="1634216390">
    <w:abstractNumId w:val="40"/>
  </w:num>
  <w:num w:numId="11" w16cid:durableId="254680153">
    <w:abstractNumId w:val="14"/>
  </w:num>
  <w:num w:numId="12" w16cid:durableId="1358044016">
    <w:abstractNumId w:val="45"/>
  </w:num>
  <w:num w:numId="13" w16cid:durableId="215164525">
    <w:abstractNumId w:val="29"/>
  </w:num>
  <w:num w:numId="14" w16cid:durableId="1643844420">
    <w:abstractNumId w:val="19"/>
  </w:num>
  <w:num w:numId="15" w16cid:durableId="553392234">
    <w:abstractNumId w:val="5"/>
  </w:num>
  <w:num w:numId="16" w16cid:durableId="197083332">
    <w:abstractNumId w:val="22"/>
  </w:num>
  <w:num w:numId="17" w16cid:durableId="2022125063">
    <w:abstractNumId w:val="2"/>
  </w:num>
  <w:num w:numId="18" w16cid:durableId="208031067">
    <w:abstractNumId w:val="4"/>
  </w:num>
  <w:num w:numId="19" w16cid:durableId="68966808">
    <w:abstractNumId w:val="44"/>
  </w:num>
  <w:num w:numId="20" w16cid:durableId="1984002335">
    <w:abstractNumId w:val="37"/>
  </w:num>
  <w:num w:numId="21" w16cid:durableId="1507329926">
    <w:abstractNumId w:val="7"/>
  </w:num>
  <w:num w:numId="22" w16cid:durableId="1965577652">
    <w:abstractNumId w:val="8"/>
  </w:num>
  <w:num w:numId="23" w16cid:durableId="1015418959">
    <w:abstractNumId w:val="0"/>
  </w:num>
  <w:num w:numId="24" w16cid:durableId="1230726672">
    <w:abstractNumId w:val="38"/>
  </w:num>
  <w:num w:numId="25" w16cid:durableId="1014915600">
    <w:abstractNumId w:val="10"/>
  </w:num>
  <w:num w:numId="26" w16cid:durableId="2146502653">
    <w:abstractNumId w:val="35"/>
  </w:num>
  <w:num w:numId="27" w16cid:durableId="1155759521">
    <w:abstractNumId w:val="24"/>
  </w:num>
  <w:num w:numId="28" w16cid:durableId="1340355350">
    <w:abstractNumId w:val="46"/>
  </w:num>
  <w:num w:numId="29" w16cid:durableId="73406322">
    <w:abstractNumId w:val="41"/>
  </w:num>
  <w:num w:numId="30" w16cid:durableId="1511216313">
    <w:abstractNumId w:val="42"/>
  </w:num>
  <w:num w:numId="31" w16cid:durableId="45035930">
    <w:abstractNumId w:val="11"/>
  </w:num>
  <w:num w:numId="32" w16cid:durableId="552932504">
    <w:abstractNumId w:val="36"/>
  </w:num>
  <w:num w:numId="33" w16cid:durableId="1700936430">
    <w:abstractNumId w:val="32"/>
  </w:num>
  <w:num w:numId="34" w16cid:durableId="691224531">
    <w:abstractNumId w:val="13"/>
  </w:num>
  <w:num w:numId="35" w16cid:durableId="723797692">
    <w:abstractNumId w:val="6"/>
  </w:num>
  <w:num w:numId="36" w16cid:durableId="1788936554">
    <w:abstractNumId w:val="33"/>
  </w:num>
  <w:num w:numId="37" w16cid:durableId="1418481195">
    <w:abstractNumId w:val="43"/>
  </w:num>
  <w:num w:numId="38" w16cid:durableId="1844199045">
    <w:abstractNumId w:val="3"/>
  </w:num>
  <w:num w:numId="39" w16cid:durableId="555044731">
    <w:abstractNumId w:val="0"/>
  </w:num>
  <w:num w:numId="40" w16cid:durableId="1042748058">
    <w:abstractNumId w:val="1"/>
  </w:num>
  <w:num w:numId="41" w16cid:durableId="1266813444">
    <w:abstractNumId w:val="28"/>
  </w:num>
  <w:num w:numId="42" w16cid:durableId="945695546">
    <w:abstractNumId w:val="26"/>
  </w:num>
  <w:num w:numId="43" w16cid:durableId="270943594">
    <w:abstractNumId w:val="9"/>
  </w:num>
  <w:num w:numId="44" w16cid:durableId="107747461">
    <w:abstractNumId w:val="30"/>
  </w:num>
  <w:num w:numId="45" w16cid:durableId="2116054205">
    <w:abstractNumId w:val="34"/>
  </w:num>
  <w:num w:numId="46" w16cid:durableId="1805200119">
    <w:abstractNumId w:val="47"/>
  </w:num>
  <w:num w:numId="47" w16cid:durableId="1888225030">
    <w:abstractNumId w:val="16"/>
  </w:num>
  <w:num w:numId="48" w16cid:durableId="1082220274">
    <w:abstractNumId w:val="17"/>
  </w:num>
  <w:num w:numId="49" w16cid:durableId="685912300">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800"/>
    <w:rsid w:val="00943800"/>
    <w:rsid w:val="00954A73"/>
    <w:rsid w:val="00B53D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8B519D"/>
  <w15:docId w15:val="{EF66B9FC-432C-45BB-8CF4-80F5F6C7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pPr>
      <w:spacing w:before="100" w:beforeAutospacing="1" w:after="100" w:afterAutospacing="1" w:line="240" w:lineRule="auto"/>
      <w:outlineLvl w:val="0"/>
    </w:pPr>
    <w:rPr>
      <w:rFonts w:ascii="Verdana" w:eastAsia="Times New Roman" w:hAnsi="Verdana" w:cs="Times New Roman"/>
      <w:kern w:val="36"/>
      <w:lang w:eastAsia="en-GB"/>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rPr>
      <w:rFonts w:ascii="Verdana" w:eastAsia="Times New Roman" w:hAnsi="Verdana" w:cs="Times New Roman"/>
      <w:kern w:val="36"/>
      <w:lang w:eastAsia="en-GB"/>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inglevel1">
    <w:name w:val="Heading level 1"/>
    <w:basedOn w:val="Normal"/>
    <w:qFormat/>
    <w:pPr>
      <w:spacing w:before="120" w:after="240" w:line="240" w:lineRule="auto"/>
      <w:outlineLvl w:val="0"/>
    </w:pPr>
    <w:rPr>
      <w:rFonts w:ascii="Arial" w:eastAsia="Times New Roman" w:hAnsi="Arial" w:cs="Times New Roman"/>
      <w:b/>
      <w:color w:val="003399"/>
      <w:sz w:val="28"/>
      <w:szCs w:val="28"/>
      <w:lang w:eastAsia="en-GB"/>
    </w:rPr>
  </w:style>
  <w:style w:type="paragraph" w:customStyle="1" w:styleId="Default">
    <w:name w:val="Default"/>
    <w:pPr>
      <w:autoSpaceDE w:val="0"/>
      <w:autoSpaceDN w:val="0"/>
      <w:adjustRightInd w:val="0"/>
      <w:spacing w:before="120" w:after="0" w:line="240" w:lineRule="auto"/>
    </w:pPr>
    <w:rPr>
      <w:rFonts w:ascii="Tahoma" w:hAnsi="Tahoma" w:cs="Tahoma"/>
      <w:color w:val="000000"/>
      <w:sz w:val="24"/>
      <w:szCs w:val="24"/>
    </w:rPr>
  </w:style>
  <w:style w:type="paragraph" w:customStyle="1" w:styleId="Headinglevel2">
    <w:name w:val="Heading level 2"/>
    <w:basedOn w:val="Normal"/>
    <w:qFormat/>
    <w:pPr>
      <w:keepNext/>
      <w:spacing w:before="480" w:after="240" w:line="240" w:lineRule="auto"/>
      <w:outlineLvl w:val="1"/>
    </w:pPr>
    <w:rPr>
      <w:rFonts w:ascii="Arial" w:eastAsia="Times New Roman" w:hAnsi="Arial" w:cs="Times New Roman"/>
      <w:b/>
      <w:color w:val="FF3300"/>
      <w:sz w:val="24"/>
      <w:szCs w:val="24"/>
      <w:lang w:eastAsia="en-GB"/>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23212">
      <w:bodyDiv w:val="1"/>
      <w:marLeft w:val="0"/>
      <w:marRight w:val="0"/>
      <w:marTop w:val="0"/>
      <w:marBottom w:val="0"/>
      <w:divBdr>
        <w:top w:val="none" w:sz="0" w:space="0" w:color="auto"/>
        <w:left w:val="none" w:sz="0" w:space="0" w:color="auto"/>
        <w:bottom w:val="none" w:sz="0" w:space="0" w:color="auto"/>
        <w:right w:val="none" w:sz="0" w:space="0" w:color="auto"/>
      </w:divBdr>
    </w:div>
    <w:div w:id="595941789">
      <w:bodyDiv w:val="1"/>
      <w:marLeft w:val="0"/>
      <w:marRight w:val="0"/>
      <w:marTop w:val="0"/>
      <w:marBottom w:val="0"/>
      <w:divBdr>
        <w:top w:val="none" w:sz="0" w:space="0" w:color="auto"/>
        <w:left w:val="none" w:sz="0" w:space="0" w:color="auto"/>
        <w:bottom w:val="none" w:sz="0" w:space="0" w:color="auto"/>
        <w:right w:val="none" w:sz="0" w:space="0" w:color="auto"/>
      </w:divBdr>
    </w:div>
    <w:div w:id="654529244">
      <w:bodyDiv w:val="1"/>
      <w:marLeft w:val="0"/>
      <w:marRight w:val="0"/>
      <w:marTop w:val="0"/>
      <w:marBottom w:val="0"/>
      <w:divBdr>
        <w:top w:val="none" w:sz="0" w:space="0" w:color="auto"/>
        <w:left w:val="none" w:sz="0" w:space="0" w:color="auto"/>
        <w:bottom w:val="none" w:sz="0" w:space="0" w:color="auto"/>
        <w:right w:val="none" w:sz="0" w:space="0" w:color="auto"/>
      </w:divBdr>
    </w:div>
    <w:div w:id="689067797">
      <w:bodyDiv w:val="1"/>
      <w:marLeft w:val="0"/>
      <w:marRight w:val="0"/>
      <w:marTop w:val="0"/>
      <w:marBottom w:val="0"/>
      <w:divBdr>
        <w:top w:val="none" w:sz="0" w:space="0" w:color="auto"/>
        <w:left w:val="none" w:sz="0" w:space="0" w:color="auto"/>
        <w:bottom w:val="none" w:sz="0" w:space="0" w:color="auto"/>
        <w:right w:val="none" w:sz="0" w:space="0" w:color="auto"/>
      </w:divBdr>
    </w:div>
    <w:div w:id="1004208304">
      <w:bodyDiv w:val="1"/>
      <w:marLeft w:val="0"/>
      <w:marRight w:val="0"/>
      <w:marTop w:val="0"/>
      <w:marBottom w:val="0"/>
      <w:divBdr>
        <w:top w:val="none" w:sz="0" w:space="0" w:color="auto"/>
        <w:left w:val="none" w:sz="0" w:space="0" w:color="auto"/>
        <w:bottom w:val="none" w:sz="0" w:space="0" w:color="auto"/>
        <w:right w:val="none" w:sz="0" w:space="0" w:color="auto"/>
      </w:divBdr>
    </w:div>
    <w:div w:id="1373767483">
      <w:bodyDiv w:val="1"/>
      <w:marLeft w:val="0"/>
      <w:marRight w:val="0"/>
      <w:marTop w:val="0"/>
      <w:marBottom w:val="0"/>
      <w:divBdr>
        <w:top w:val="none" w:sz="0" w:space="0" w:color="auto"/>
        <w:left w:val="none" w:sz="0" w:space="0" w:color="auto"/>
        <w:bottom w:val="none" w:sz="0" w:space="0" w:color="auto"/>
        <w:right w:val="none" w:sz="0" w:space="0" w:color="auto"/>
      </w:divBdr>
    </w:div>
    <w:div w:id="1457407613">
      <w:bodyDiv w:val="1"/>
      <w:marLeft w:val="0"/>
      <w:marRight w:val="0"/>
      <w:marTop w:val="0"/>
      <w:marBottom w:val="0"/>
      <w:divBdr>
        <w:top w:val="none" w:sz="0" w:space="0" w:color="auto"/>
        <w:left w:val="none" w:sz="0" w:space="0" w:color="auto"/>
        <w:bottom w:val="none" w:sz="0" w:space="0" w:color="auto"/>
        <w:right w:val="none" w:sz="0" w:space="0" w:color="auto"/>
      </w:divBdr>
    </w:div>
    <w:div w:id="210275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access-arrangements-and-special-consideration/form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cq.org.uk/exams-office/access-arrangements-and-special-consideration/form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jcq.org.uk/exams-office/access-arrangements-and-special-consideration/form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jcq.org.uk/exams-office/access-arrangements-and-special-consideration/form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D987F-1B7F-4D26-94CE-5A21CC789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1260</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Avril Harrison</dc:creator>
  <cp:lastModifiedBy>Lisa Ramsden</cp:lastModifiedBy>
  <cp:revision>2</cp:revision>
  <cp:lastPrinted>2021-06-23T16:35:00Z</cp:lastPrinted>
  <dcterms:created xsi:type="dcterms:W3CDTF">2025-04-29T10:59:00Z</dcterms:created>
  <dcterms:modified xsi:type="dcterms:W3CDTF">2025-04-29T10:59:00Z</dcterms:modified>
</cp:coreProperties>
</file>